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Lawful Morsel</w:t>
      </w:r>
    </w:p>
    <w:p>
      <w:pPr/>
      <w:r>
        <w:t>Fresh flour and clean water cannot make good dough if the yeast is spoiled. Nor can spoiled dough produce good bread.</w:t>
      </w:r>
    </w:p>
    <w:p>
      <w:pPr/>
      <w:r>
        <w:t>To raise a child of good character, one must nourish that child with lawful and honestly earned food.</w:t>
      </w:r>
    </w:p>
    <w:p>
      <w:pPr>
        <w:keepNext/>
        <w:spacing w:after="80"/>
      </w:pPr>
      <w:r>
        <w:t>— Imam al-Ghazali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A child’s moral formation begins with the food placed on the family table. Lawful earnings and honest nourishment help lay the foundation of sound character.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Lawful Morsel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