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Living in the Past</w:t>
      </w:r>
    </w:p>
    <w:p>
      <w:pPr>
        <w:keepNext/>
      </w:pPr>
      <w:r>
        <w:t>Living in the past is like walking backward. With your eyes turned away from the road ahead, you stumble—unable either to change what lies behind you or to reach what lies before you.</w:t>
      </w:r>
    </w:p>
    <w:p>
      <w:pPr>
        <w:keepNext/>
        <w:keepLines/>
        <w:spacing w:before="160" w:after="80"/>
      </w:pPr>
      <w:r>
        <w:rPr>
          <w:b/>
        </w:rPr>
        <w:t>Moral:</w:t>
      </w:r>
      <w:r>
        <w:t xml:space="preserve"> You cannot undo the past. Turn toward the future and give yourself a chance to move forward.</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Living in the Past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