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Meddling in Other People’s Lives</w:t>
      </w:r>
    </w:p>
    <w:p>
      <w:pPr>
        <w:keepNext/>
        <w:spacing w:after="80"/>
      </w:pPr>
      <w:r>
        <w:t>May Allah never leave anyone so idle that they have time to meddle in other people’s lives!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Unwanted advice can become a burden. Calling interference “kindness” does not prevent it from doing harm.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Meddling in Other People’s Lives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