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 Allah, Give First to the Mountains and Stones</w:t>
      </w:r>
    </w:p>
    <w:p>
      <w:pPr>
        <w:spacing w:after="80"/>
      </w:pPr>
      <w:r>
        <w:t>An old prayer from the Turkic lands says:</w:t>
      </w:r>
    </w:p>
    <w:p>
      <w:pPr>
        <w:keepNext/>
      </w:pPr>
      <w:r>
        <w:t>“O Allah, give first to the mountains and stones, the forests, the animals, and the waters. Then give to the people, to my neighbor, and to those in need. If anything remains, give to me last.”</w:t>
      </w:r>
    </w:p>
    <w:p>
      <w:pPr>
        <w:keepNext/>
        <w:keepLines/>
        <w:spacing w:before="160"/>
      </w:pPr>
      <w:r>
        <w:rPr>
          <w:b/>
        </w:rPr>
        <w:t>Moral:</w:t>
      </w:r>
      <w:r>
        <w:t xml:space="preserve"> True generosity means thinking of others before oneself. This prayer carries within it an entire people’s tradition of sharing.</w:t>
      </w:r>
    </w:p>
    <w:p>
      <w:pPr>
        <w:spacing w:after="80"/>
      </w:pPr>
      <w:r>
        <w:rPr>
          <w:i/>
          <w:sz w:val="18"/>
        </w:rPr>
        <w:t>Source: Publicly available internet sources.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Allah, Give First to the Mountains and Stones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