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Other People's Opinions</w:t>
      </w:r>
    </w:p>
    <w:p>
      <w:pPr/>
      <w:r>
        <w:t>One day, a person lost the comma, and every sentence ran together. Then the period disappeared, and thoughts stretched on without an end. Next went the exclamation mark, taking joy, anger, and feeling with it. When the question mark vanished, the person stopped asking questions and accepted everything without challenge. Finally, the colon disappeared, along with the ability to explain.</w:t>
      </w:r>
    </w:p>
    <w:p>
      <w:pPr>
        <w:keepNext/>
        <w:spacing w:after="80"/>
      </w:pPr>
      <w:r>
        <w:t>At the end of life, only quotation marks remained, enclosing other people’s opinions.</w:t>
      </w:r>
    </w:p>
    <w:p>
      <w:pPr>
        <w:keepNext/>
        <w:keepLines/>
        <w:spacing w:before="160"/>
      </w:pPr>
      <w:r>
        <w:rPr>
          <w:b/>
        </w:rPr>
        <w:t>Moral:</w:t>
      </w:r>
      <w:r>
        <w:t xml:space="preserve"> When we surrender our own voice and understanding, other people’s ideas take their place. Preserve the values and roots that help you remain yourself.</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Other People's Opinions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