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When Strengths Become Weaknesses</w:t>
      </w:r>
    </w:p>
    <w:p>
      <w:pPr>
        <w:spacing w:after="80"/>
      </w:pPr>
      <w:r>
        <w:t>A peacock’s splendid tail can make it a target.</w:t>
      </w:r>
    </w:p>
    <w:p>
      <w:pPr>
        <w:spacing w:after="80"/>
      </w:pPr>
      <w:r>
        <w:t>A nightingale’s beautiful song can lead it into a cage.</w:t>
      </w:r>
    </w:p>
    <w:p>
      <w:pPr>
        <w:spacing w:after="80"/>
      </w:pPr>
      <w:r>
        <w:t>A fox’s fine fur can draw a hunter’s attention.</w:t>
      </w:r>
    </w:p>
    <w:p>
      <w:pPr>
        <w:keepNext/>
        <w:spacing w:after="80"/>
      </w:pPr>
      <w:r>
        <w:t>The qualities we prize most in ourselves can also make us vulnerable.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What gives us pride can also become a weakness. Recognize the risks that accompany your gifts.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When Strengths Become Weaknesses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