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Pawn and the King</w:t>
      </w:r>
    </w:p>
    <w:p>
      <w:pPr>
        <w:spacing w:after="80"/>
      </w:pPr>
      <w:r>
        <w:t>Do not look down on a pawn.</w:t>
      </w:r>
    </w:p>
    <w:p>
      <w:pPr>
        <w:spacing w:after="80"/>
      </w:pPr>
      <w:r>
        <w:t>One day, it may become a queen.</w:t>
      </w:r>
    </w:p>
    <w:p>
      <w:pPr>
        <w:spacing w:after="80"/>
      </w:pPr>
      <w:r>
        <w:t>Do not feel safe merely because you are a king.</w:t>
      </w:r>
    </w:p>
    <w:p>
      <w:pPr>
        <w:keepNext/>
        <w:spacing w:after="80"/>
      </w:pPr>
      <w:r>
        <w:t>One day, you may be checkmated.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Do not underestimate the humble or place too much faith in rank. A pawn can rise, and a king can fall.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Pawn and the King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