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Stoning the Devil</w:t>
      </w:r>
    </w:p>
    <w:p>
      <w:pPr/>
      <w:r>
        <w:t>During the Hajj, when it was time to cast stones at the devil, one pilgrim began striking himself with the stones instead. A young man nearby asked in surprise:</w:t>
      </w:r>
    </w:p>
    <w:p>
      <w:pPr>
        <w:spacing w:after="80"/>
      </w:pPr>
      <w:r>
        <w:t>“Uncle, why are you hitting yourself with those stones?”</w:t>
      </w:r>
    </w:p>
    <w:p>
      <w:pPr>
        <w:spacing w:after="80"/>
      </w:pPr>
      <w:r>
        <w:t>The man replied:</w:t>
      </w:r>
    </w:p>
    <w:p>
      <w:pPr>
        <w:keepNext/>
      </w:pPr>
      <w:r>
        <w:t>“My son, why think only of the devil outside us? We must confront the devil within too—curb our selfish desires and purify our hearts.”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real struggle is not only against evil outside us, but against the uncontrolled desires within. Purifying oneself is harder than condemning others, but far more valuable.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Stoning the Devil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