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Not Mine to Give</w:t>
      </w:r>
    </w:p>
    <w:p>
      <w:pPr>
        <w:keepNext/>
      </w:pPr>
      <w:r>
        <w:t>A story from the Battle of Çanakkale tells of morphine being reserved for wounded soldiers who could survive. Among those brought to Dr. Tarık Nusret was his own son. Seeing that the boy could not be saved, he withheld the injection. Two hours later, holding his son’s lifeless body, he whispered, “Forgive me, my son. It was not mine to give you.”</w:t>
      </w:r>
    </w:p>
    <w:p>
      <w:pPr>
        <w:keepNext/>
        <w:keepLines/>
        <w:spacing w:before="160"/>
      </w:pPr>
      <w:r>
        <w:rPr>
          <w:b/>
        </w:rPr>
        <w:t>Moral:</w:t>
      </w:r>
      <w:r>
        <w:t xml:space="preserve"> Impartiality can demand a terrible personal sacrifice. In this story, a father refuses to claim for his son what has been reserved for others.</w:t>
      </w:r>
    </w:p>
    <w:p>
      <w:pPr>
        <w:spacing w:after="80"/>
      </w:pPr>
      <w:r>
        <w:rPr>
          <w:i/>
          <w:sz w:val="18"/>
        </w:rPr>
        <w:t>Source: Publicly available internet sources.</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 Mine to Give</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