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Think, Speak, Act Positively</w:t>
      </w:r>
    </w:p>
    <w:p>
      <w:pPr>
        <w:spacing w:after="80"/>
      </w:pPr>
      <w:r>
        <w:t>Think positively, because your thoughts become your words.</w:t>
      </w:r>
    </w:p>
    <w:p>
      <w:pPr>
        <w:spacing w:after="80"/>
      </w:pPr>
      <w:r>
        <w:t>Speak positively, because your words become your actions.</w:t>
      </w:r>
    </w:p>
    <w:p>
      <w:pPr>
        <w:spacing w:after="80"/>
      </w:pPr>
      <w:r>
        <w:t>Act positively, because your actions become your habits.</w:t>
      </w:r>
    </w:p>
    <w:p>
      <w:pPr>
        <w:spacing w:after="80"/>
      </w:pPr>
      <w:r>
        <w:t>Develop positive habits, because your habits become your values.</w:t>
      </w:r>
    </w:p>
    <w:p>
      <w:pPr>
        <w:keepNext/>
        <w:spacing w:after="80"/>
      </w:pPr>
      <w:r>
        <w:t>Develop positive values, because your values become your destiny.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Thoughts shape words, words shape actions, and repeated actions become habits and values. A change in outlook can begin a change in life.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Think, Speak, Act Positively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