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This Boat Is Empty Too</w:t>
      </w:r>
    </w:p>
    <w:p>
      <w:pPr>
        <w:spacing w:after="80"/>
      </w:pPr>
      <w:r>
        <w:t>My master used to say:</w:t>
      </w:r>
    </w:p>
    <w:p>
      <w:pPr/>
      <w:r>
        <w:t>“When I was young, I often went to the lake to think in solitude. I had a little boat and would spend hours on the water, letting my thoughts settle.</w:t>
      </w:r>
    </w:p>
    <w:p>
      <w:pPr>
        <w:spacing w:after="80"/>
      </w:pPr>
      <w:r>
        <w:t>“One morning at daybreak, I was sitting there with my eyes closed.</w:t>
      </w:r>
    </w:p>
    <w:p>
      <w:pPr/>
      <w:r>
        <w:t>“Suddenly, another boat struck mine. Furious at the interruption, I opened my eyes, ready to shout at whoever was responsible. But the boat was empty. With no one to blame, my anger faded. I closed my eyes again, and by sunrise my peace had returned.</w:t>
      </w:r>
    </w:p>
    <w:p>
      <w:pPr>
        <w:spacing w:after="80"/>
      </w:pPr>
      <w:r>
        <w:t>“That empty boat taught me something. Now, when someone upsets me, I tell myself:</w:t>
      </w:r>
    </w:p>
    <w:p>
      <w:pPr>
        <w:keepNext/>
        <w:spacing w:after="80"/>
      </w:pPr>
      <w:r>
        <w:t>“‘This boat is empty too.’”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If a person wants to maintain his peace, he should not look for evil intentions behind every incident. Sometimes what worries us is just a coincidence; it is our choice whether to magnify it and turn it into anger.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This Boat Is Empty Too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