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Meeting and Knowing</w:t>
      </w:r>
    </w:p>
    <w:p>
      <w:pPr>
        <w:spacing w:after="80"/>
      </w:pPr>
      <w:r>
        <w:t>For some, we can only say this:</w:t>
      </w:r>
    </w:p>
    <w:p>
      <w:pPr>
        <w:keepNext/>
        <w:spacing w:after="80"/>
      </w:pPr>
      <w:r>
        <w:t>We were happy to meet them; we were sad to discover who they were.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First impressions do not always survive familiarity. Knowing someone better can bring disappointment.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and Knowing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