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Where Does This Road Go?</w:t>
      </w:r>
    </w:p>
    <w:p>
      <w:pPr>
        <w:spacing w:after="80"/>
      </w:pPr>
      <w:r>
        <w:t>A young traveler asked an old man sitting beside the road:</w:t>
      </w:r>
    </w:p>
    <w:p>
      <w:pPr>
        <w:spacing w:after="80"/>
      </w:pPr>
      <w:r>
        <w:t>“Where does this road go?”</w:t>
      </w:r>
    </w:p>
    <w:p>
      <w:pPr>
        <w:spacing w:after="80"/>
      </w:pPr>
      <w:r>
        <w:t>“Nowhere, my son.”</w:t>
      </w:r>
    </w:p>
    <w:p>
      <w:pPr>
        <w:spacing w:after="80"/>
      </w:pPr>
      <w:r>
        <w:t>“How can a road go nowhere?”</w:t>
      </w:r>
    </w:p>
    <w:p>
      <w:pPr>
        <w:keepNext/>
        <w:spacing w:after="80"/>
      </w:pPr>
      <w:r>
        <w:t>“I’ve lived here fifty years, and it hasn’t moved. It’s the people who come and go.”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The road stays where it is. The important thing is knowing where you want to go.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Does This Road Go?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