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Windmill Turning in Still Air</w:t>
      </w:r>
    </w:p>
    <w:p>
      <w:pPr>
        <w:spacing w:after="80"/>
      </w:pPr>
      <w:r>
        <w:t>If a windmill turns when the air is still, someone must be blowing on its sails.</w:t>
      </w:r>
    </w:p>
    <w:p>
      <w:pPr>
        <w:keepNext/>
        <w:spacing w:after="80"/>
      </w:pPr>
      <w:r>
        <w:t>Eskimo proverb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Results have causes, even when we cannot see them. Look beyond the obvious for the forces at work.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Windmill Turning in Still Air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