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Woman Whose House Was Robbed</w:t>
      </w:r>
    </w:p>
    <w:p>
      <w:pPr/>
      <w:r>
        <w:t>Long ago, an elderly woman in a certain city had her home robbed. Distraught, she went to the king to seek justice.</w:t>
      </w:r>
    </w:p>
    <w:p>
      <w:pPr>
        <w:spacing w:after="80"/>
      </w:pPr>
      <w:r>
        <w:t>After hearing her story, the king asked angrily:</w:t>
      </w:r>
    </w:p>
    <w:p>
      <w:pPr>
        <w:spacing w:after="80"/>
      </w:pPr>
      <w:r>
        <w:t>“How could you sleep so soundly that you didn’t notice a thief?”</w:t>
      </w:r>
    </w:p>
    <w:p>
      <w:pPr>
        <w:spacing w:after="80"/>
      </w:pPr>
      <w:r>
        <w:t>The woman replied:</w:t>
      </w:r>
    </w:p>
    <w:p>
      <w:pPr>
        <w:keepNext/>
      </w:pPr>
      <w:r>
        <w:t>“We thought you were awake and watching over us, Your Majesty. That is why we felt safe enough to sleep.”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People’s sense of security grows from trust in those responsible for protecting them. When people know their ruler is keeping watch, they can sleep peacefully in their own homes.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Woman Whose House Was Robbed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