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Would You Trust His Rope?</w:t>
      </w:r>
    </w:p>
    <w:p>
      <w:pPr/>
      <w:r>
        <w:t>A ropemaker named Ali worked carelessly, producing weak ropes that often snapped and caused accidents. People began calling him “Ali of the rotten ropes.”</w:t>
      </w:r>
    </w:p>
    <w:p>
      <w:pPr/>
      <w:r>
        <w:t>One day, a sheep fell into a well. A neighbor offered to climb down, but hesitated when he saw the rope the owner handed him.</w:t>
      </w:r>
    </w:p>
    <w:p>
      <w:pPr>
        <w:spacing w:after="80"/>
      </w:pPr>
      <w:r>
        <w:t>“I know this rope. Ali made it. You can’t go down a well on one of his ropes.”</w:t>
      </w:r>
    </w:p>
    <w:p>
      <w:pPr>
        <w:keepNext/>
        <w:spacing w:after="80"/>
      </w:pPr>
      <w:r>
        <w:t>“Oh, you can go down,” the owner replied with a smile. “Getting back up is what I can’t promise.”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A person gains or loses trust in his name by the quality of his work. Once trust is shaken, it is very difficult to restore it.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Would You Trust His Rope?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