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C2582" w14:textId="3F37A73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4" w:name="Story_25"/>
      <w:r>
        <w:rPr>
          <w:rFonts w:ascii="Arial" w:hAnsi="Arial"/>
          <w:b/>
          <w:color w:val="000000"/>
          <w:sz w:val="34"/>
          <w:lang w:val="ky-KG"/>
        </w:rPr>
        <w:t>Баарлашуу</w:t>
      </w:r>
      <w:bookmarkEnd w:id="10024"/>
    </w:p>
    <w:p w14:paraId="4CE801A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Карылар менен да, балдар менен да көбүрөөк баарлашыңыз: биринен турмуштун сабагын, экинчисинен көңүлдүн тазалыгын табасыз.</w:t>
      </w:r>
    </w:p>
    <w:p w14:paraId="7B943FE7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Улуудан акыл үйрөн, кичүүдөн аруулукту көр. Ар бир курактын өзүнчө өрнөгү бар.</w:t>
      </w:r>
    </w:p>
    <w:p w14:paraId="016471C4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