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477D" w14:textId="5475708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89" w:name="Story_90"/>
      <w:r>
        <w:rPr>
          <w:rFonts w:ascii="Arial" w:hAnsi="Arial"/>
          <w:b/>
          <w:color w:val="000000"/>
          <w:sz w:val="34"/>
          <w:lang w:val="ky-KG"/>
        </w:rPr>
        <w:t>Балбы же каткан нанбы</w:t>
      </w:r>
      <w:bookmarkEnd w:id="10089"/>
    </w:p>
    <w:p w14:paraId="33EAD44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Наадан менен отуруп бал жегенче, аалым менен отуруп каткан нан же.</w:t>
      </w:r>
    </w:p>
    <w:p w14:paraId="52DED3FA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Ким менен отурганың эмне жегениңден маанилүү. Акылдуу кишинин жөнөкөй дасторкону да жанга азык берет.</w:t>
      </w:r>
    </w:p>
    <w:p w14:paraId="4977076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