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3019" w14:textId="6E842AF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3" w:name="Story_94"/>
      <w:r>
        <w:rPr>
          <w:rFonts w:ascii="Arial" w:hAnsi="Arial"/>
          <w:b/>
          <w:color w:val="000000"/>
          <w:sz w:val="34"/>
          <w:lang w:val="ky-KG"/>
        </w:rPr>
        <w:t>Адамдарга болгон мамиле</w:t>
      </w:r>
      <w:bookmarkEnd w:id="10093"/>
    </w:p>
    <w:p w14:paraId="691A23B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Адамдарга мамилең отко болгон мамилеңдей болсун:</w:t>
      </w:r>
    </w:p>
    <w:p w14:paraId="2ADA32A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өтө алыстаба — тоңуп каласың;</w:t>
      </w:r>
    </w:p>
    <w:p w14:paraId="0FD4EE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өтө жакындаба — күйүп каласың.</w:t>
      </w:r>
    </w:p>
    <w:p w14:paraId="76D278E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Саади Ширази</w:t>
      </w:r>
    </w:p>
    <w:p w14:paraId="0375833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Мамиленин да ченеми бар. Элден безип алыстаба, өз кадырыңды жоготуп жакындай бербе.</w:t>
      </w:r>
    </w:p>
    <w:p w14:paraId="4E37EFD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