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E6816" w14:textId="280BDBB3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16" w:name="Story_117"/>
      <w:r>
        <w:rPr>
          <w:rFonts w:ascii="Arial" w:hAnsi="Arial"/>
          <w:b/>
          <w:color w:val="000000"/>
          <w:sz w:val="34"/>
          <w:lang w:val="ky-KG"/>
        </w:rPr>
        <w:t>Ак бата өзү сени тапсын</w:t>
      </w:r>
      <w:bookmarkEnd w:id="10116"/>
    </w:p>
    <w:p w14:paraId="26F142A9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Аксакалдарыбыз мындай деп айтышкан: сен —</w:t>
      </w:r>
    </w:p>
    <w:p w14:paraId="109706F1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жардыга таяныч, муктажга ачык эшик, жетимге мээрим бол. Баланын бутун жылыткан өтүк, кыйналганга жеңилдик бол. Ошондо өзүңө керектүү ак бата сени издеп табат.</w:t>
      </w:r>
    </w:p>
    <w:p w14:paraId="0CF21236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Бирөөнүн жүгүн жеңилдетип, жетимдин башынан сыла. Чын көңүлдөн жасаган жакшылыгың сага ак бата болуп кайтат.</w:t>
      </w:r>
    </w:p>
    <w:p w14:paraId="3DB1601C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