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5AA09B" w14:textId="20D032E0" w:rsidR="002B0A7F" w:rsidRDefault="002B0A7F" w:rsidP="002B0A7F">
      <w:pPr>
        <w:pStyle w:val="Title"/>
        <w:keepNext/>
        <w:keepLines w:val="0"/>
        <w:pageBreakBefore w:val="0"/>
        <w:widowControl/>
        <w:spacing w:line="269" w:lineRule="auto" w:after="180" w:before="0"/>
      </w:pPr>
      <w:bookmarkStart w:id="10194" w:name="Story_195"/>
      <w:r>
        <w:rPr>
          <w:rFonts w:ascii="Arial" w:hAnsi="Arial"/>
          <w:b/>
          <w:color w:val="000000"/>
          <w:sz w:val="34"/>
          <w:lang w:val="ky-KG"/>
        </w:rPr>
        <w:t>Ал сенин акыңа жатчу эмес</w:t>
      </w:r>
      <w:bookmarkEnd w:id="10194"/>
    </w:p>
    <w:p w14:paraId="6110BFB1"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Чанаккале салгылашында аман калууга мүмкүнчүлүгү бар жарадарларга гана морфин сайышчу экен. Дарыгер Тарык Нусретке алып келген оор жарадарлардын бири өз уулу болуп чыгат. Баласынын өмүрүн сактап калуу мүмкүн эмес экенин көргөн ата ага ийне сайбайт. Эки сааттан кийин шейит кеткен уулунун жансыз денесин кучактаган ата терең кайгы менен: «Мени кечир, уулум, ал сенин акыңа жатчу эмес», — деп шыбырайт.</w:t>
      </w:r>
    </w:p>
    <w:p w14:paraId="5A96E6BB"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 xml:space="preserve">Сабак: </w:t>
      </w:r>
      <w:r>
        <w:rPr>
          <w:rFonts w:ascii="Arial" w:hAnsi="Arial"/>
          <w:color w:val="000000"/>
          <w:sz w:val="22"/>
          <w:lang w:val="ky-KG"/>
        </w:rPr>
        <w:t>Калыстык эң жакыныңдын кызыкчылыгы сыналганда да сакталууга тийиш. Бирөөнүн акысын өз жакыныңа ыраа көрбө.</w:t>
      </w:r>
    </w:p>
    <w:p w14:paraId="6A1E7051"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