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Отношение к проблеме</w:t>
      </w:r>
    </w:p>
    <w:p>
      <w:pPr>
        <w:spacing w:after="80"/>
      </w:pPr>
      <w:r>
        <w:t>Есть ли в вашей жизни проблема?</w:t>
      </w:r>
    </w:p>
    <w:p>
      <w:pPr>
        <w:spacing w:after="80"/>
      </w:pPr>
      <w:r>
        <w:t>Если нет, беспокоиться не о чем.</w:t>
      </w:r>
    </w:p>
    <w:p>
      <w:pPr>
        <w:spacing w:after="80"/>
      </w:pPr>
      <w:r>
        <w:t>Если проблема есть, можете ли вы её решить?</w:t>
      </w:r>
    </w:p>
    <w:p>
      <w:pPr>
        <w:spacing w:after="80"/>
      </w:pPr>
      <w:r>
        <w:t>Если можете, беспокоиться не о чем.</w:t>
      </w:r>
    </w:p>
    <w:p>
      <w:pPr>
        <w:keepNext/>
        <w:spacing w:after="80"/>
      </w:pPr>
      <w:r>
        <w:t>Если не можете, беспокоиться всё равно не о чем.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Тревога сама по себе ничего не решает. Бессмысленно изводить себя и из-за того, что можно исправить, и из-за того, чего изменить нельзя.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Отношение к проблеме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