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Избегайте этих вопросов</w:t>
      </w:r>
    </w:p>
    <w:p>
      <w:pPr/>
      <w:r>
        <w:t>Не спрашивайте безработного: «Ты всё ещё без работы?», работающего: «Сколько ты получаешь?», бездетного: «У вас до сих пор нет детей?», а неженатого или незамужнюю: «Когда свадьба?»</w:t>
      </w:r>
    </w:p>
    <w:p>
      <w:pPr>
        <w:keepNext/>
      </w:pPr>
      <w:r>
        <w:t>Не ставьте человека в неловкое положение вопросом: «Неужели ты этого не знал?» То, что кажется нам обычным любопытством, может задеть чужую незажившую рану.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Некоторые вопросы больно ранят. Порой, удержавшись от бестактного вопроса, мы избавляем человека от лишних переживаний.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Избегайте этих вопросов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