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Главный бухгалтер и генеральный директор</w:t>
      </w:r>
    </w:p>
    <w:p>
      <w:pPr>
        <w:spacing w:after="80"/>
      </w:pPr>
      <w:r>
        <w:t>Главный бухгалтер говорит генеральному директору:</w:t>
      </w:r>
    </w:p>
    <w:p>
      <w:pPr>
        <w:spacing w:after="80"/>
      </w:pPr>
      <w:r>
        <w:t>— А что, если мы потратим время и деньги на обучение сотрудников, а они уйдут из компании?</w:t>
      </w:r>
    </w:p>
    <w:p>
      <w:pPr>
        <w:spacing w:after="80"/>
      </w:pPr>
      <w:r>
        <w:t>Генеральный директор ответил:</w:t>
      </w:r>
    </w:p>
    <w:p>
      <w:pPr>
        <w:keepNext/>
        <w:spacing w:after="80"/>
      </w:pPr>
      <w:r>
        <w:t>— А если мы не станем их учить, а они останутся?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Вкладываться в развитие людей — не значит тратить деньги впустую. Экономия на обучении сегодня может обернуться серьёзными потерями завтра.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Главный бухгалтер и генеральный директор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