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Не открывай рот.</w:t>
      </w:r>
    </w:p>
    <w:p>
      <w:pPr>
        <w:keepNext/>
        <w:spacing w:after="80"/>
      </w:pPr>
      <w:r>
        <w:t>Если не собираешься сказать ничего доброго, лучше промолчи.</w:t>
      </w:r>
    </w:p>
    <w:p>
      <w:pPr>
        <w:keepNext/>
        <w:keepLines/>
        <w:spacing w:before="160"/>
      </w:pPr>
      <w:r>
        <w:rPr>
          <w:b/>
        </w:rPr>
        <w:t>Мораль:</w:t>
      </w:r>
      <w:r>
        <w:t xml:space="preserve"> Сила слов заключается в том, чтобы использовать их уместно и во благо. Если тебе нечего сказать, молчание говорит громче слов.</w:t>
      </w:r>
    </w:p>
    <w:p>
      <w:pPr>
        <w:spacing w:after="80"/>
      </w:pPr>
      <w:r>
        <w:rPr>
          <w:i/>
          <w:sz w:val="18"/>
        </w:rPr>
        <w:t>«История взята из открытых источников Интернета.»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Не открывай рот.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