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Как мы говорим о своей боли</w:t>
      </w:r>
    </w:p>
    <w:p>
      <w:pPr>
        <w:keepNext/>
      </w:pPr>
      <w:r>
        <w:t>Один говорит о своей беде прямо и ищет решение. Другой облекает её в красивые слова, словно писатель. Третий рассказывает о ней с любовью. А мудрец скрывает боль за улыбкой.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Каждый переживает беду по-своему: кто-то говорит, кто-то пишет, кто-то молчит и улыбается. Самая глубокая боль порой скрыта за молчанием.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мы говорим о своей боли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