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Праздничный подарок</w:t>
      </w:r>
    </w:p>
    <w:p>
      <w:pPr>
        <w:spacing w:after="80"/>
      </w:pPr>
      <w:r>
        <w:t>— Почтенный старец, — спросил я, — что мне купить к празднику?</w:t>
      </w:r>
    </w:p>
    <w:p>
      <w:pPr>
        <w:spacing w:after="80"/>
      </w:pPr>
      <w:r>
        <w:t>Он ответил:</w:t>
      </w:r>
    </w:p>
    <w:p>
      <w:pPr>
        <w:keepNext/>
      </w:pPr>
      <w:r>
        <w:t>— Порадуй кого-нибудь. Подари детям улыбку. А если сможешь, помоги нуждающимся так, чтобы они помянули тебя в молитве.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Самый ценный подарок измеряется не деньгами, а сердечностью и вниманием. Настоящим праздником день делает порой не то, что ты получил, а то, что отдал другим.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Праздничный подарок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