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Щедрый человек</w:t>
      </w:r>
    </w:p>
    <w:p>
      <w:pPr>
        <w:spacing w:after="80"/>
      </w:pPr>
      <w:r>
        <w:t>Однажды щедрого человека спросили:</w:t>
      </w:r>
    </w:p>
    <w:p>
      <w:pPr>
        <w:spacing w:after="80"/>
      </w:pPr>
      <w:r>
        <w:t>— Ожидаешь ли ты, что бедняки будут благодарны тебе за всё, чем ты с ними делишься?</w:t>
      </w:r>
    </w:p>
    <w:p>
      <w:pPr>
        <w:spacing w:after="80"/>
      </w:pPr>
      <w:r>
        <w:t>Он ответил:</w:t>
      </w:r>
    </w:p>
    <w:p>
      <w:pPr>
        <w:keepNext/>
        <w:spacing w:after="80"/>
      </w:pPr>
      <w:r>
        <w:t>— Я лишь половник в руках повара. Им раздают еду, но кормит людей повар, а не половник.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Совершая добро, человек не должен считать себя истинным владельцем того, чем делится. Он лишь посредник; подлинный Дарующий — Аллах.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Щедрый человек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