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Благоволение Аллаха</w:t>
      </w:r>
    </w:p>
    <w:p>
      <w:pPr>
        <w:spacing w:after="80"/>
      </w:pPr>
      <w:r>
        <w:t>Ходжа Убайдуллах Ахрар говорил:</w:t>
      </w:r>
    </w:p>
    <w:p>
      <w:pPr>
        <w:spacing w:after="80"/>
      </w:pPr>
      <w:r>
        <w:t>«Я искал самый короткий путь к благоволению Аллаха и понял: этот путь — дарить людям радость.</w:t>
      </w:r>
    </w:p>
    <w:p>
      <w:pPr>
        <w:keepNext/>
      </w:pPr>
      <w:r>
        <w:t>Я также пытался понять, что сильнее всего отдаляет человека от Аллаха, и осознал: нет ничего опаснее, чем ранить чужое сердце».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Радовать людей — значит приближаться к благоволению Аллаха. Ранить чужое сердце — отдаляться от Него.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Благоволение Аллаха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