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 время хаджа</w:t>
      </w:r>
    </w:p>
    <w:p>
      <w:pPr/>
      <w:r>
        <w:t>Во время хаджа, когда настало время бросать камни в шайтана, один паломник вместо этого начал ударять камнями самого себя. Стоявший рядом юноша удивлённо спросил:</w:t>
      </w:r>
    </w:p>
    <w:p>
      <w:pPr>
        <w:spacing w:after="80"/>
      </w:pPr>
      <w:r>
        <w:t>— Дядя, зачем вы бьёте себя?</w:t>
      </w:r>
    </w:p>
    <w:p>
      <w:pPr>
        <w:spacing w:after="80"/>
      </w:pPr>
      <w:r>
        <w:t>Мужчина ответил:</w:t>
      </w:r>
    </w:p>
    <w:p>
      <w:pPr/>
      <w:r>
        <w:t>— Сынок, зачем видеть шайтана только снаружи? Нам надо побороть и того, что живёт внутри нас: обуздать свой нафс и очистить сердце.</w:t>
      </w:r>
    </w:p>
    <w:p>
      <w:pPr>
        <w:spacing w:after="80"/>
      </w:pPr>
      <w:r>
        <w:t>* * *</w:t>
      </w:r>
    </w:p>
    <w:p>
      <w:pPr>
        <w:spacing w:after="80"/>
      </w:pPr>
      <w:r>
        <w:t>Жар — в огне, а не в железном листе,</w:t>
      </w:r>
    </w:p>
    <w:p>
      <w:pPr>
        <w:spacing w:after="80"/>
      </w:pPr>
      <w:r>
        <w:t>достоинство — в разуме, а не в венце.</w:t>
      </w:r>
    </w:p>
    <w:p>
      <w:pPr>
        <w:spacing w:after="80"/>
      </w:pPr>
      <w:r>
        <w:t>Что бы ни искал ты, прежде ищи в себе —</w:t>
      </w:r>
    </w:p>
    <w:p>
      <w:pPr>
        <w:keepNext/>
        <w:spacing w:after="80"/>
      </w:pPr>
      <w:r>
        <w:t>не только в Иерусалиме, Мекке или хадже.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Главная борьба человека — не с внешним врагом, а с собственными страстями. Истинное достоинство не во внешних знаках, а в том, что человек воспитывает в себе.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 время хаджа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