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Отношения с людьми</w:t>
      </w:r>
    </w:p>
    <w:p>
      <w:pPr>
        <w:spacing w:after="80"/>
      </w:pPr>
      <w:r>
        <w:t>Пусть ваши отношения с людьми будут подобны вашим отношениям с огнем:</w:t>
      </w:r>
    </w:p>
    <w:p>
      <w:pPr>
        <w:spacing w:after="80"/>
      </w:pPr>
      <w:r>
        <w:t>не отходите слишком далеко, чтобы не замерзнуть;</w:t>
      </w:r>
    </w:p>
    <w:p>
      <w:pPr>
        <w:spacing w:after="80"/>
      </w:pPr>
      <w:r>
        <w:t>не подходите слишком близко, чтобы не сгореть.</w:t>
      </w:r>
    </w:p>
    <w:p>
      <w:pPr>
        <w:keepNext/>
        <w:spacing w:after="80"/>
      </w:pPr>
      <w:r>
        <w:t>Саади Ширази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 близости тоже нужна мера: не отдаляйтесь настолько, чтобы остаться без тепла, и не приближайтесь настолько, чтобы обжечься.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Отношения с людьми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