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Я целую твои глаза</w:t>
      </w:r>
    </w:p>
    <w:p>
      <w:pPr>
        <w:spacing w:after="80"/>
      </w:pPr>
      <w:r>
        <w:t>Знаешь, почему говорят: «Я целую твои глаза»?</w:t>
      </w:r>
    </w:p>
    <w:p>
      <w:pPr>
        <w:keepNext/>
      </w:pPr>
      <w:r>
        <w:t>Потому что глаза больше всего устают от тоски и ожидания. Именно они больше всего заслуживают нежности.</w:t>
      </w:r>
    </w:p>
    <w:p>
      <w:pPr>
        <w:keepNext/>
        <w:keepLines/>
        <w:spacing w:before="160" w:after="80"/>
      </w:pPr>
      <w:r>
        <w:rPr>
          <w:b/>
        </w:rPr>
        <w:t>Мораль:</w:t>
      </w:r>
      <w:r>
        <w:t xml:space="preserve"> Тому, кто долго тосковал и ждал, особенно нужны любовь и ласка.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Я целую твои глаза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