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Жить прошлым</w:t>
      </w:r>
    </w:p>
    <w:p>
      <w:pPr>
        <w:keepNext/>
      </w:pPr>
      <w:r>
        <w:t>Жить одним прошлым — всё равно что идти спиной вперёд. Не видя дороги, легко споткнуться. При этом ни прошлое не изменишь, ни новых возможностей не заметишь.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Ходить назад — значит спотыкаться. Вы не можете изменить прошлое — поверните лицо, смотрите вперед.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Жить прошлым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