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Ничто не теряется навсегда</w:t>
      </w:r>
    </w:p>
    <w:p>
      <w:pPr>
        <w:keepNext/>
        <w:spacing w:after="80"/>
      </w:pPr>
      <w:r>
        <w:t>На неудачу можно взглянуть иначе: ты либо добиваешься успеха, либо получаешь урок.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Понятия «проигрыш» не существует — ты либо побеждаешь, либо учишься. Каждая неудача — это, по сути, урок.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Ничто не теряется навсегда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