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Наши качества могут стать нашими врагами.</w:t>
      </w:r>
    </w:p>
    <w:p>
      <w:pPr>
        <w:spacing w:after="80"/>
      </w:pPr>
      <w:r>
        <w:t>Враг павлина — его собственный хвост…</w:t>
      </w:r>
    </w:p>
    <w:p>
      <w:pPr>
        <w:spacing w:after="80"/>
      </w:pPr>
      <w:r>
        <w:t>Соловей попадает в клетку из-за своего прекрасного пения.</w:t>
      </w:r>
    </w:p>
    <w:p>
      <w:pPr>
        <w:spacing w:after="80"/>
      </w:pPr>
      <w:r>
        <w:t>Лиса становится добычей из-за роскошного меха.</w:t>
      </w:r>
    </w:p>
    <w:p>
      <w:pPr>
        <w:keepNext/>
        <w:spacing w:after="80"/>
      </w:pPr>
      <w:r>
        <w:t>Порой то, чем мы больше всего гордимся, делает нас уязвимыми.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Даже достоинство может обернуться слабостью. Помни об уязвимости и не полагайся только на свои преимущества.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Наши качества могут стать нашими врагами.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