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Пешка и король</w:t>
      </w:r>
    </w:p>
    <w:p>
      <w:pPr>
        <w:spacing w:after="80"/>
      </w:pPr>
      <w:r>
        <w:t>Не смотри свысока на пешку:</w:t>
      </w:r>
    </w:p>
    <w:p>
      <w:pPr>
        <w:spacing w:after="80"/>
      </w:pPr>
      <w:r>
        <w:t>дойдя до последней горизонтали, она может стать ферзём.</w:t>
      </w:r>
    </w:p>
    <w:p>
      <w:pPr>
        <w:spacing w:after="80"/>
      </w:pPr>
      <w:r>
        <w:t>Не считай короля неуязвимым:</w:t>
      </w:r>
    </w:p>
    <w:p>
      <w:pPr>
        <w:keepNext/>
        <w:spacing w:after="80"/>
      </w:pPr>
      <w:r>
        <w:t>ему тоже могут поставить мат.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Не презирай скромное положение и не гордись высоким. Малое может возвыситься, а сильное — потерпеть поражение.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Пешка и король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