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Молитесь, моя посуду.</w:t>
      </w:r>
    </w:p>
    <w:p>
      <w:pPr/>
      <w:r>
        <w:t>Молитесь, моя посуду. Будьте благодарны за то, что у вас есть посуда, которую нужно мыть. Потому что это показывает, что у вас есть еда, что вы накормили кого-то, что вы позаботились о ком-то, что вы приготовили еду и накрыли стол.</w:t>
      </w:r>
    </w:p>
    <w:p>
      <w:pPr>
        <w:keepNext/>
        <w:spacing w:after="80"/>
      </w:pPr>
      <w:r>
        <w:t>Вспомните тех, кому нечего поставить на стол или не с кем разделить еду.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Будьте благодарны за простые вещи, которые у вас есть: наличие посуды, которую нужно мыть, означает, что у вас есть стол, у вас есть любимые люди. Благодарность имеет огромное значение.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Молитесь, моя посуду.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