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Молчание</w:t>
      </w:r>
    </w:p>
    <w:p>
      <w:pPr>
        <w:spacing w:after="80"/>
      </w:pPr>
      <w:r>
        <w:t>Ответ на некоторые вопросы — молчание.</w:t>
      </w:r>
    </w:p>
    <w:p>
      <w:pPr>
        <w:spacing w:after="80"/>
      </w:pPr>
      <w:r>
        <w:t>Либо сейчас не время для ответа,</w:t>
      </w:r>
    </w:p>
    <w:p>
      <w:pPr>
        <w:spacing w:after="80"/>
      </w:pPr>
      <w:r>
        <w:t>либо собеседник не заслуживает ответа!</w:t>
      </w:r>
    </w:p>
    <w:p>
      <w:pPr>
        <w:spacing w:after="80"/>
      </w:pPr>
      <w:r>
        <w:t>* * *</w:t>
      </w:r>
    </w:p>
    <w:p>
      <w:pPr>
        <w:keepNext/>
        <w:spacing w:after="80"/>
      </w:pPr>
      <w:r>
        <w:t>Дарвиш Джалал Рухави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Иногда молчание — лучший ответ. Либо время для разговора ещё не пришло, либо собеседник не готов услышать.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Молчание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