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Сохраняйте хладнокровие</w:t>
      </w:r>
    </w:p>
    <w:p>
      <w:pPr>
        <w:keepNext/>
      </w:pPr>
      <w:r>
        <w:t>Прежде чем действовать, постарайтесь спокойно разобраться в происходящем. Так легче принять разумное решение и найти выход даже из трудного положения.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Лучшее решение принимается спокойным умом, а не в панике. Хладнокровие может превратить даже сложную ситуацию в благоприятную.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Сохраняйте хладнокровие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