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Откуда берется несчастье?</w:t>
      </w:r>
    </w:p>
    <w:p>
      <w:pPr>
        <w:spacing w:after="80"/>
      </w:pPr>
      <w:r>
        <w:t>Дервиша спрашивают:</w:t>
      </w:r>
    </w:p>
    <w:p>
      <w:pPr>
        <w:spacing w:after="80"/>
      </w:pPr>
      <w:r>
        <w:t>— Откуда берется несчастье?</w:t>
      </w:r>
    </w:p>
    <w:p>
      <w:pPr>
        <w:spacing w:after="80"/>
      </w:pPr>
      <w:r>
        <w:t>Дервиш отвечает:</w:t>
      </w:r>
    </w:p>
    <w:p>
      <w:pPr>
        <w:spacing w:after="80"/>
      </w:pPr>
      <w:r>
        <w:t>— Проверьте свои глаза, смотрели ли вы на запретное?</w:t>
      </w:r>
    </w:p>
    <w:p>
      <w:pPr>
        <w:spacing w:after="80"/>
      </w:pPr>
      <w:r>
        <w:t>— Присмотрись к своему языку и слуху: не распространял ли ты сплетни и не слушал ли злословие?</w:t>
      </w:r>
    </w:p>
    <w:p>
      <w:pPr/>
      <w:r>
        <w:t>— Проверьте свои руки, не тянулись ли вы к запретному и не добавили ли чего-нибудь запретного к своему заработку?</w:t>
      </w:r>
    </w:p>
    <w:p>
      <w:pPr>
        <w:keepNext/>
        <w:spacing w:after="80"/>
      </w:pPr>
      <w:r>
        <w:t>— Проверьте свои ноги, не ходили ли вы туда, куда не следовало ходить?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Корень того, что с нами происходит, часто кроется в наших собственных действиях. Проверьте свои глаза, свой язык, свои руки и свои шаги.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Откуда берется несчастье?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