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Мельница, вращающаяся в безветрие</w:t>
      </w:r>
    </w:p>
    <w:p>
      <w:pPr>
        <w:spacing w:after="80"/>
      </w:pPr>
      <w:r>
        <w:t>Если в безветренную погоду мельница вращается, значит, кто-то непременно дует на её крылья.</w:t>
      </w:r>
    </w:p>
    <w:p>
      <w:pPr>
        <w:keepNext/>
        <w:spacing w:after="80"/>
      </w:pPr>
      <w:r>
        <w:t>Эскимосская пословица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У каждого события есть причина. Мы не всегда видим действующую силу, но замечаем её следствия.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Мельница, вращающаяся в безветрие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