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B1D81" w14:textId="77777777" w:rsidR="00674279" w:rsidRDefault="00674279" w:rsidP="00674279">
      <w:pPr>
        <w:pStyle w:val="Heading1"/>
      </w:pPr>
      <w:r>
        <w:t>Background</w:t>
      </w:r>
    </w:p>
    <w:p w14:paraId="5657849A" w14:textId="77777777" w:rsidR="00674279" w:rsidRDefault="00674279" w:rsidP="00674279">
      <w:r>
        <w:t xml:space="preserve">The Expert Panel document </w:t>
      </w:r>
      <w:r w:rsidRPr="00674279">
        <w:rPr>
          <w:i/>
        </w:rPr>
        <w:t>Recommendations for Crediting Outfall and Gully Stabilization Projects in the Chesapeake Bay Watershed</w:t>
      </w:r>
      <w:r>
        <w:rPr>
          <w:i/>
        </w:rPr>
        <w:t xml:space="preserve"> </w:t>
      </w:r>
      <w:r>
        <w:t xml:space="preserve">defines the crediting mechanism of </w:t>
      </w:r>
      <w:r w:rsidRPr="00674279">
        <w:rPr>
          <w:b/>
        </w:rPr>
        <w:t>Protocol 5</w:t>
      </w:r>
      <w:r>
        <w:t xml:space="preserve"> (Alternative Prevented Sediment for Outfalls).  This approach </w:t>
      </w:r>
      <w:r w:rsidR="009D16B0">
        <w:t>accounts for</w:t>
      </w:r>
      <w:r>
        <w:t xml:space="preserve"> sediment loss through vertical i</w:t>
      </w:r>
      <w:r w:rsidR="009D16B0">
        <w:t xml:space="preserve">ncision at outfalls and gullies.  Credit is estimated by </w:t>
      </w:r>
      <w:r>
        <w:t xml:space="preserve">comparing existing channel conditions to </w:t>
      </w:r>
      <w:r w:rsidR="009D16B0">
        <w:t>modeled</w:t>
      </w:r>
      <w:r>
        <w:t xml:space="preserve"> equilibrium channel conditions.</w:t>
      </w:r>
    </w:p>
    <w:p w14:paraId="7686F541" w14:textId="5AA52866" w:rsidR="00674279" w:rsidRPr="00674279" w:rsidRDefault="00674279" w:rsidP="00674279">
      <w:r>
        <w:t xml:space="preserve">This python toolbox produces GIS </w:t>
      </w:r>
      <w:r w:rsidR="009D16B0">
        <w:t xml:space="preserve">raster and polygon </w:t>
      </w:r>
      <w:r>
        <w:t xml:space="preserve">data </w:t>
      </w:r>
      <w:r w:rsidR="009D16B0">
        <w:t>for</w:t>
      </w:r>
      <w:r>
        <w:t xml:space="preserve"> the </w:t>
      </w:r>
      <w:r w:rsidR="009D16B0">
        <w:t>modeled equilibrium channel condition.  Total sediment volume is converted to an annual sediment volume</w:t>
      </w:r>
      <w:r w:rsidR="003F0629" w:rsidRPr="003F0629">
        <w:t xml:space="preserve"> </w:t>
      </w:r>
      <w:r w:rsidR="003F0629">
        <w:t>credit,</w:t>
      </w:r>
      <w:r w:rsidR="009D16B0">
        <w:t xml:space="preserve"> assuming 50% effic</w:t>
      </w:r>
      <w:r w:rsidR="003F0629">
        <w:t>iency and a 30 year time window</w:t>
      </w:r>
      <w:r w:rsidR="009D16B0">
        <w:t xml:space="preserve"> as outlined in the Expert Panel document.</w:t>
      </w:r>
    </w:p>
    <w:p w14:paraId="327BB00E" w14:textId="77777777" w:rsidR="009B7A4C" w:rsidRDefault="00372B22" w:rsidP="00674279">
      <w:pPr>
        <w:pStyle w:val="Heading1"/>
      </w:pPr>
      <w:r>
        <w:t>Requirements</w:t>
      </w:r>
    </w:p>
    <w:p w14:paraId="4E1DE339" w14:textId="77777777" w:rsidR="00372B22" w:rsidRDefault="00372B22" w:rsidP="00D66313">
      <w:pPr>
        <w:pStyle w:val="ListParagraph"/>
        <w:numPr>
          <w:ilvl w:val="0"/>
          <w:numId w:val="3"/>
        </w:numPr>
      </w:pPr>
      <w:r>
        <w:t>ArcGIS Pro 10.</w:t>
      </w:r>
      <w:r w:rsidR="00674279">
        <w:t>x</w:t>
      </w:r>
    </w:p>
    <w:p w14:paraId="6BA2EF40" w14:textId="77777777" w:rsidR="00674279" w:rsidRDefault="00372B22" w:rsidP="00D66313">
      <w:pPr>
        <w:pStyle w:val="ListParagraph"/>
        <w:numPr>
          <w:ilvl w:val="0"/>
          <w:numId w:val="3"/>
        </w:numPr>
      </w:pPr>
      <w:r>
        <w:t xml:space="preserve">Spatial </w:t>
      </w:r>
      <w:r w:rsidR="00674279">
        <w:t xml:space="preserve">Analyst </w:t>
      </w:r>
      <w:r>
        <w:t xml:space="preserve">and 3D </w:t>
      </w:r>
      <w:r w:rsidR="00674279">
        <w:t>A</w:t>
      </w:r>
      <w:r>
        <w:t xml:space="preserve">nalyst extensions </w:t>
      </w:r>
    </w:p>
    <w:p w14:paraId="64C15984" w14:textId="1378BD96" w:rsidR="00372B22" w:rsidRDefault="004A2B1C" w:rsidP="00D66313">
      <w:pPr>
        <w:pStyle w:val="ListParagraph"/>
        <w:numPr>
          <w:ilvl w:val="0"/>
          <w:numId w:val="3"/>
        </w:numPr>
      </w:pPr>
      <w:r>
        <w:t>Python</w:t>
      </w:r>
    </w:p>
    <w:p w14:paraId="6894131D" w14:textId="77777777" w:rsidR="00674279" w:rsidRDefault="00674279" w:rsidP="001B0E76">
      <w:pPr>
        <w:pStyle w:val="Heading1"/>
      </w:pPr>
      <w:r>
        <w:t>Use</w:t>
      </w:r>
    </w:p>
    <w:p w14:paraId="13AE2A89" w14:textId="7559664F" w:rsidR="00674279" w:rsidRDefault="00D66313" w:rsidP="00674279">
      <w:r>
        <w:t>The t</w:t>
      </w:r>
      <w:r w:rsidR="00674279">
        <w:t xml:space="preserve">ool is designed to be run </w:t>
      </w:r>
      <w:r w:rsidR="004A2B1C">
        <w:t xml:space="preserve">for a single restoration project, but </w:t>
      </w:r>
      <w:r w:rsidR="003F0629">
        <w:t xml:space="preserve">a </w:t>
      </w:r>
      <w:r w:rsidR="00674279">
        <w:t xml:space="preserve">project can contain </w:t>
      </w:r>
      <w:r w:rsidR="003F0629">
        <w:t>multiple line features with different attributes</w:t>
      </w:r>
      <w:r w:rsidR="00674279">
        <w:t>.</w:t>
      </w:r>
      <w:r>
        <w:t xml:space="preserve">  Processing time is dependent on the number of vertices</w:t>
      </w:r>
      <w:r w:rsidR="003F0629">
        <w:t xml:space="preserve"> in the input line feature</w:t>
      </w:r>
      <w:r>
        <w:t>, so using the fewest vertices necessary to accurately capture channel geometry will shorten computation time.</w:t>
      </w:r>
    </w:p>
    <w:p w14:paraId="1BA28BEF" w14:textId="77777777" w:rsidR="00D66313" w:rsidRDefault="00372B22">
      <w:r>
        <w:t xml:space="preserve">Line segments </w:t>
      </w:r>
      <w:r w:rsidR="00D66313">
        <w:t>should</w:t>
      </w:r>
      <w:r>
        <w:t xml:space="preserve"> be draw</w:t>
      </w:r>
      <w:r w:rsidR="00D66313">
        <w:t>n uphill – beginning at the downstream grade control and ending at the upstream extent.  The tool will reverse any downhill lines if the box “Check for / enforce uphill line direction” is selected.  This box is unselected by default to reduce processing time.</w:t>
      </w:r>
    </w:p>
    <w:p w14:paraId="45DF1236" w14:textId="056AA895" w:rsidR="001B0E76" w:rsidRDefault="001B0E76" w:rsidP="001B0E76">
      <w:r>
        <w:t>DEM vertical units must be in Feet.</w:t>
      </w:r>
      <w:r w:rsidR="00835F6F">
        <w:t xml:space="preserve"> Map units must be in Feet.  The preferred spatial reference is WKID 2893</w:t>
      </w:r>
      <w:r w:rsidR="00090C8C">
        <w:t xml:space="preserve"> (</w:t>
      </w:r>
      <w:r w:rsidR="00090C8C" w:rsidRPr="00090C8C">
        <w:t>NAD 1983 HARN StatePl</w:t>
      </w:r>
      <w:r w:rsidR="00090C8C">
        <w:t>ane Maryland FIPS 1900 US Feet)</w:t>
      </w:r>
      <w:r w:rsidR="00835F6F">
        <w:t xml:space="preserve">. </w:t>
      </w:r>
      <w:r w:rsidR="00090C8C">
        <w:t>Output rasters and feature classes will use this spatial reference.</w:t>
      </w:r>
    </w:p>
    <w:p w14:paraId="19CA78E9" w14:textId="77777777" w:rsidR="00835F6F" w:rsidRDefault="00835F6F" w:rsidP="001B0E76">
      <w:r>
        <w:t>Slope inputs should be in V:H format (where lower values correspond to shallower slopes).</w:t>
      </w:r>
    </w:p>
    <w:p w14:paraId="078D4D94" w14:textId="72719485" w:rsidR="00372B22" w:rsidRDefault="001B0E76" w:rsidP="001B0E76">
      <w:pPr>
        <w:pStyle w:val="Heading1"/>
      </w:pPr>
      <w:r>
        <w:t>Geodatabase</w:t>
      </w:r>
      <w:r w:rsidR="002D1393">
        <w:t xml:space="preserve"> with Template Line Feature Class</w:t>
      </w:r>
    </w:p>
    <w:p w14:paraId="52E5CC74" w14:textId="66FFD064" w:rsidR="001B0E76" w:rsidRDefault="001B0E76" w:rsidP="001B0E76">
      <w:r>
        <w:t xml:space="preserve">The </w:t>
      </w:r>
      <w:r w:rsidR="009574F4">
        <w:t xml:space="preserve">‘P5LineTemplate.gdb’ </w:t>
      </w:r>
      <w:r>
        <w:t>geodatabase contains a line feature class with all the required fields.</w:t>
      </w:r>
      <w:r w:rsidR="009967A0">
        <w:t xml:space="preserve">  The following fields </w:t>
      </w:r>
      <w:r w:rsidR="00631B4F">
        <w:t>must be populated</w:t>
      </w:r>
      <w:r w:rsidR="009967A0">
        <w:t xml:space="preserve"> for each feature:</w:t>
      </w:r>
    </w:p>
    <w:tbl>
      <w:tblPr>
        <w:tblStyle w:val="TableGrid"/>
        <w:tblW w:w="0" w:type="auto"/>
        <w:tblLook w:val="04A0" w:firstRow="1" w:lastRow="0" w:firstColumn="1" w:lastColumn="0" w:noHBand="0" w:noVBand="1"/>
      </w:tblPr>
      <w:tblGrid>
        <w:gridCol w:w="3116"/>
        <w:gridCol w:w="5760"/>
      </w:tblGrid>
      <w:tr w:rsidR="009967A0" w14:paraId="716B4980" w14:textId="77777777" w:rsidTr="009D16B0">
        <w:tc>
          <w:tcPr>
            <w:tcW w:w="3116" w:type="dxa"/>
            <w:shd w:val="clear" w:color="auto" w:fill="F2F2F2" w:themeFill="background1" w:themeFillShade="F2"/>
          </w:tcPr>
          <w:p w14:paraId="54E165FE" w14:textId="77777777" w:rsidR="009967A0" w:rsidRPr="009967A0" w:rsidRDefault="009967A0" w:rsidP="009967A0">
            <w:pPr>
              <w:jc w:val="center"/>
              <w:rPr>
                <w:b/>
              </w:rPr>
            </w:pPr>
            <w:r w:rsidRPr="009967A0">
              <w:rPr>
                <w:b/>
              </w:rPr>
              <w:t>Field Name</w:t>
            </w:r>
          </w:p>
        </w:tc>
        <w:tc>
          <w:tcPr>
            <w:tcW w:w="5760" w:type="dxa"/>
            <w:shd w:val="clear" w:color="auto" w:fill="F2F2F2" w:themeFill="background1" w:themeFillShade="F2"/>
          </w:tcPr>
          <w:p w14:paraId="661291AB" w14:textId="77777777" w:rsidR="009967A0" w:rsidRPr="009967A0" w:rsidRDefault="009967A0" w:rsidP="009967A0">
            <w:pPr>
              <w:jc w:val="center"/>
              <w:rPr>
                <w:b/>
              </w:rPr>
            </w:pPr>
            <w:r w:rsidRPr="009967A0">
              <w:rPr>
                <w:b/>
              </w:rPr>
              <w:t>Description</w:t>
            </w:r>
          </w:p>
        </w:tc>
      </w:tr>
      <w:tr w:rsidR="009967A0" w14:paraId="58E67BC0" w14:textId="77777777" w:rsidTr="009D16B0">
        <w:tc>
          <w:tcPr>
            <w:tcW w:w="3116" w:type="dxa"/>
            <w:vAlign w:val="bottom"/>
          </w:tcPr>
          <w:p w14:paraId="3BEFA16C" w14:textId="77777777" w:rsidR="009967A0" w:rsidRDefault="009967A0" w:rsidP="009967A0">
            <w:pPr>
              <w:rPr>
                <w:rFonts w:ascii="Calibri" w:hAnsi="Calibri" w:cs="Calibri"/>
                <w:color w:val="000000"/>
              </w:rPr>
            </w:pPr>
            <w:r>
              <w:rPr>
                <w:rFonts w:ascii="Calibri" w:hAnsi="Calibri" w:cs="Calibri"/>
                <w:color w:val="000000"/>
              </w:rPr>
              <w:t>exBottomWidth</w:t>
            </w:r>
          </w:p>
        </w:tc>
        <w:tc>
          <w:tcPr>
            <w:tcW w:w="5760" w:type="dxa"/>
          </w:tcPr>
          <w:p w14:paraId="731071B1" w14:textId="77777777" w:rsidR="009967A0" w:rsidRDefault="009967A0" w:rsidP="009967A0">
            <w:r>
              <w:t>Existing channel bottom width (feet)</w:t>
            </w:r>
          </w:p>
        </w:tc>
      </w:tr>
      <w:tr w:rsidR="009967A0" w14:paraId="1C4B68A0" w14:textId="77777777" w:rsidTr="009D16B0">
        <w:tc>
          <w:tcPr>
            <w:tcW w:w="3116" w:type="dxa"/>
            <w:vAlign w:val="bottom"/>
          </w:tcPr>
          <w:p w14:paraId="1D2656AF" w14:textId="77777777" w:rsidR="009967A0" w:rsidRDefault="009967A0" w:rsidP="009967A0">
            <w:pPr>
              <w:rPr>
                <w:rFonts w:ascii="Calibri" w:hAnsi="Calibri" w:cs="Calibri"/>
                <w:color w:val="000000"/>
              </w:rPr>
            </w:pPr>
            <w:r>
              <w:rPr>
                <w:rFonts w:ascii="Calibri" w:hAnsi="Calibri" w:cs="Calibri"/>
                <w:color w:val="000000"/>
              </w:rPr>
              <w:t>exBankHeight</w:t>
            </w:r>
          </w:p>
        </w:tc>
        <w:tc>
          <w:tcPr>
            <w:tcW w:w="5760" w:type="dxa"/>
          </w:tcPr>
          <w:p w14:paraId="62D83A8F" w14:textId="77777777" w:rsidR="009967A0" w:rsidRDefault="009967A0" w:rsidP="009967A0">
            <w:r>
              <w:t>Existing channel bank height (feet)</w:t>
            </w:r>
          </w:p>
        </w:tc>
      </w:tr>
      <w:tr w:rsidR="009967A0" w14:paraId="484FD4B1" w14:textId="77777777" w:rsidTr="009D16B0">
        <w:tc>
          <w:tcPr>
            <w:tcW w:w="3116" w:type="dxa"/>
            <w:vAlign w:val="bottom"/>
          </w:tcPr>
          <w:p w14:paraId="13F99273" w14:textId="77777777" w:rsidR="009967A0" w:rsidRDefault="009967A0" w:rsidP="009967A0">
            <w:pPr>
              <w:rPr>
                <w:rFonts w:ascii="Calibri" w:hAnsi="Calibri" w:cs="Calibri"/>
                <w:color w:val="000000"/>
              </w:rPr>
            </w:pPr>
            <w:r>
              <w:rPr>
                <w:rFonts w:ascii="Calibri" w:hAnsi="Calibri" w:cs="Calibri"/>
                <w:color w:val="000000"/>
              </w:rPr>
              <w:t>exBedSlope</w:t>
            </w:r>
          </w:p>
        </w:tc>
        <w:tc>
          <w:tcPr>
            <w:tcW w:w="5760" w:type="dxa"/>
          </w:tcPr>
          <w:p w14:paraId="687414D3" w14:textId="77777777" w:rsidR="009967A0" w:rsidRDefault="009967A0" w:rsidP="009967A0">
            <w:r>
              <w:t>Existing channel bed slope (feet)</w:t>
            </w:r>
          </w:p>
        </w:tc>
      </w:tr>
      <w:tr w:rsidR="009967A0" w14:paraId="78218B8D" w14:textId="77777777" w:rsidTr="004A2B1C">
        <w:tc>
          <w:tcPr>
            <w:tcW w:w="3116" w:type="dxa"/>
            <w:vAlign w:val="center"/>
          </w:tcPr>
          <w:p w14:paraId="399F75AC" w14:textId="77777777" w:rsidR="009967A0" w:rsidRDefault="009967A0" w:rsidP="004A2B1C">
            <w:pPr>
              <w:rPr>
                <w:rFonts w:ascii="Calibri" w:hAnsi="Calibri" w:cs="Calibri"/>
                <w:color w:val="000000"/>
              </w:rPr>
            </w:pPr>
            <w:r>
              <w:rPr>
                <w:rFonts w:ascii="Calibri" w:hAnsi="Calibri" w:cs="Calibri"/>
                <w:color w:val="000000"/>
              </w:rPr>
              <w:t>bedType</w:t>
            </w:r>
          </w:p>
        </w:tc>
        <w:tc>
          <w:tcPr>
            <w:tcW w:w="5760" w:type="dxa"/>
          </w:tcPr>
          <w:p w14:paraId="35356C3F" w14:textId="77777777" w:rsidR="004A2B1C" w:rsidRDefault="004A2B1C" w:rsidP="004A2B1C">
            <w:r>
              <w:t>Bed Material</w:t>
            </w:r>
          </w:p>
          <w:p w14:paraId="35722C7D" w14:textId="76299B3D" w:rsidR="009967A0" w:rsidRDefault="009967A0" w:rsidP="004A2B1C">
            <w:r>
              <w:t>(</w:t>
            </w:r>
            <w:r w:rsidR="004A2B1C">
              <w:t>Custom, Cohesive, Sand and Gravel, Coarser than Sand)</w:t>
            </w:r>
          </w:p>
        </w:tc>
      </w:tr>
      <w:tr w:rsidR="009967A0" w14:paraId="256D022F" w14:textId="77777777" w:rsidTr="009D16B0">
        <w:tc>
          <w:tcPr>
            <w:tcW w:w="3116" w:type="dxa"/>
            <w:vAlign w:val="bottom"/>
          </w:tcPr>
          <w:p w14:paraId="39F39FC0" w14:textId="5D8674BE" w:rsidR="009967A0" w:rsidRDefault="009967A0" w:rsidP="009967A0">
            <w:pPr>
              <w:rPr>
                <w:rFonts w:ascii="Calibri" w:hAnsi="Calibri" w:cs="Calibri"/>
                <w:color w:val="000000"/>
              </w:rPr>
            </w:pPr>
            <w:r>
              <w:rPr>
                <w:rFonts w:ascii="Calibri" w:hAnsi="Calibri" w:cs="Calibri"/>
                <w:color w:val="000000"/>
              </w:rPr>
              <w:t>eqBankSlope</w:t>
            </w:r>
          </w:p>
        </w:tc>
        <w:tc>
          <w:tcPr>
            <w:tcW w:w="5760" w:type="dxa"/>
          </w:tcPr>
          <w:p w14:paraId="52446895" w14:textId="77777777" w:rsidR="009967A0" w:rsidRDefault="009967A0" w:rsidP="009967A0">
            <w:r>
              <w:t>Equilibrium bank slope (V:H), Default 0.568</w:t>
            </w:r>
          </w:p>
        </w:tc>
      </w:tr>
    </w:tbl>
    <w:p w14:paraId="61F987AF" w14:textId="77777777" w:rsidR="009967A0" w:rsidRDefault="009967A0" w:rsidP="001B0E76"/>
    <w:p w14:paraId="3CD730C5" w14:textId="77777777" w:rsidR="001B0E76" w:rsidRPr="001B0E76" w:rsidRDefault="001B0E76" w:rsidP="009967A0">
      <w:pPr>
        <w:pStyle w:val="Heading2"/>
      </w:pPr>
      <w:r>
        <w:lastRenderedPageBreak/>
        <w:t xml:space="preserve">Estimating </w:t>
      </w:r>
      <w:r w:rsidR="009967A0">
        <w:t>Equilibrium Slope Based On Bed Material</w:t>
      </w:r>
    </w:p>
    <w:p w14:paraId="2676DA7F" w14:textId="77777777" w:rsidR="009D16B0" w:rsidRDefault="009D16B0">
      <w:r>
        <w:t xml:space="preserve">Equilibrium slope is estimated from channel properties.  Depending on the bed material type, different parameters are required to estimate equilibrium slope.  The four options </w:t>
      </w:r>
      <w:r w:rsidR="00BF16C8">
        <w:t>for bed type</w:t>
      </w:r>
      <w:r>
        <w:t>, and associated required fields, are shown below.</w:t>
      </w:r>
    </w:p>
    <w:p w14:paraId="38A90750" w14:textId="77777777" w:rsidR="009D16B0" w:rsidRPr="009D16B0" w:rsidRDefault="009D16B0" w:rsidP="009D16B0">
      <w:pPr>
        <w:pStyle w:val="ListParagraph"/>
        <w:numPr>
          <w:ilvl w:val="0"/>
          <w:numId w:val="5"/>
        </w:numPr>
      </w:pPr>
      <w:r w:rsidRPr="009D16B0">
        <w:t>Custom</w:t>
      </w:r>
    </w:p>
    <w:tbl>
      <w:tblPr>
        <w:tblStyle w:val="TableGrid"/>
        <w:tblW w:w="8876" w:type="dxa"/>
        <w:tblLook w:val="04A0" w:firstRow="1" w:lastRow="0" w:firstColumn="1" w:lastColumn="0" w:noHBand="0" w:noVBand="1"/>
      </w:tblPr>
      <w:tblGrid>
        <w:gridCol w:w="3116"/>
        <w:gridCol w:w="5760"/>
      </w:tblGrid>
      <w:tr w:rsidR="009D16B0" w:rsidRPr="009967A0" w14:paraId="0AC2FD38" w14:textId="77777777" w:rsidTr="009D16B0">
        <w:tc>
          <w:tcPr>
            <w:tcW w:w="3116" w:type="dxa"/>
            <w:shd w:val="clear" w:color="auto" w:fill="F2F2F2" w:themeFill="background1" w:themeFillShade="F2"/>
          </w:tcPr>
          <w:p w14:paraId="478A6559" w14:textId="77777777" w:rsidR="009D16B0" w:rsidRPr="009967A0" w:rsidRDefault="009D16B0" w:rsidP="00B43A4D">
            <w:pPr>
              <w:jc w:val="center"/>
              <w:rPr>
                <w:b/>
              </w:rPr>
            </w:pPr>
            <w:r w:rsidRPr="009967A0">
              <w:rPr>
                <w:b/>
              </w:rPr>
              <w:t>Field Name</w:t>
            </w:r>
          </w:p>
        </w:tc>
        <w:tc>
          <w:tcPr>
            <w:tcW w:w="5760" w:type="dxa"/>
            <w:shd w:val="clear" w:color="auto" w:fill="F2F2F2" w:themeFill="background1" w:themeFillShade="F2"/>
          </w:tcPr>
          <w:p w14:paraId="235EE6A5" w14:textId="77777777" w:rsidR="009D16B0" w:rsidRPr="009967A0" w:rsidRDefault="009D16B0" w:rsidP="00B43A4D">
            <w:pPr>
              <w:jc w:val="center"/>
              <w:rPr>
                <w:b/>
              </w:rPr>
            </w:pPr>
            <w:r w:rsidRPr="009967A0">
              <w:rPr>
                <w:b/>
              </w:rPr>
              <w:t>Description</w:t>
            </w:r>
          </w:p>
        </w:tc>
      </w:tr>
      <w:tr w:rsidR="009D16B0" w14:paraId="6CC041A1" w14:textId="77777777" w:rsidTr="009D16B0">
        <w:tc>
          <w:tcPr>
            <w:tcW w:w="3116" w:type="dxa"/>
            <w:vAlign w:val="bottom"/>
          </w:tcPr>
          <w:p w14:paraId="75790670" w14:textId="77777777" w:rsidR="009D16B0" w:rsidRPr="009D16B0" w:rsidRDefault="009D16B0" w:rsidP="00B43A4D">
            <w:pPr>
              <w:rPr>
                <w:rFonts w:ascii="Calibri" w:hAnsi="Calibri" w:cs="Calibri"/>
                <w:color w:val="000000"/>
              </w:rPr>
            </w:pPr>
            <w:r w:rsidRPr="009D16B0">
              <w:t>eqBedSlope</w:t>
            </w:r>
          </w:p>
        </w:tc>
        <w:tc>
          <w:tcPr>
            <w:tcW w:w="5760" w:type="dxa"/>
          </w:tcPr>
          <w:p w14:paraId="3EF8E043" w14:textId="77777777" w:rsidR="009D16B0" w:rsidRDefault="009D16B0" w:rsidP="009D16B0">
            <w:r>
              <w:t>Equilibrium channel bed slope, entered directly by the user</w:t>
            </w:r>
          </w:p>
        </w:tc>
      </w:tr>
    </w:tbl>
    <w:p w14:paraId="26A2AEC8" w14:textId="77777777" w:rsidR="009D16B0" w:rsidRDefault="009D16B0" w:rsidP="009D16B0"/>
    <w:p w14:paraId="4A17FAB5" w14:textId="77777777" w:rsidR="00BF16C8" w:rsidRDefault="00BF16C8" w:rsidP="009D16B0">
      <w:pPr>
        <w:pStyle w:val="ListParagraph"/>
        <w:numPr>
          <w:ilvl w:val="0"/>
          <w:numId w:val="5"/>
        </w:numPr>
      </w:pPr>
      <w:r w:rsidRPr="00BF16C8">
        <w:t>Cohesive</w:t>
      </w:r>
    </w:p>
    <w:tbl>
      <w:tblPr>
        <w:tblStyle w:val="TableGrid"/>
        <w:tblW w:w="0" w:type="auto"/>
        <w:tblLook w:val="04A0" w:firstRow="1" w:lastRow="0" w:firstColumn="1" w:lastColumn="0" w:noHBand="0" w:noVBand="1"/>
      </w:tblPr>
      <w:tblGrid>
        <w:gridCol w:w="3116"/>
        <w:gridCol w:w="5760"/>
      </w:tblGrid>
      <w:tr w:rsidR="009D16B0" w:rsidRPr="009967A0" w14:paraId="251BF8C6" w14:textId="77777777" w:rsidTr="009D16B0">
        <w:tc>
          <w:tcPr>
            <w:tcW w:w="3116" w:type="dxa"/>
            <w:shd w:val="clear" w:color="auto" w:fill="F2F2F2" w:themeFill="background1" w:themeFillShade="F2"/>
          </w:tcPr>
          <w:p w14:paraId="14F9D99C" w14:textId="77777777" w:rsidR="009D16B0" w:rsidRPr="009967A0" w:rsidRDefault="009D16B0" w:rsidP="00B43A4D">
            <w:pPr>
              <w:jc w:val="center"/>
              <w:rPr>
                <w:b/>
              </w:rPr>
            </w:pPr>
            <w:r w:rsidRPr="009967A0">
              <w:rPr>
                <w:b/>
              </w:rPr>
              <w:t>Field Name</w:t>
            </w:r>
          </w:p>
        </w:tc>
        <w:tc>
          <w:tcPr>
            <w:tcW w:w="5760" w:type="dxa"/>
            <w:shd w:val="clear" w:color="auto" w:fill="F2F2F2" w:themeFill="background1" w:themeFillShade="F2"/>
          </w:tcPr>
          <w:p w14:paraId="501DDFB5" w14:textId="77777777" w:rsidR="009D16B0" w:rsidRPr="009967A0" w:rsidRDefault="009D16B0" w:rsidP="00B43A4D">
            <w:pPr>
              <w:jc w:val="center"/>
              <w:rPr>
                <w:b/>
              </w:rPr>
            </w:pPr>
            <w:r w:rsidRPr="009967A0">
              <w:rPr>
                <w:b/>
              </w:rPr>
              <w:t>Description</w:t>
            </w:r>
          </w:p>
        </w:tc>
      </w:tr>
      <w:tr w:rsidR="009D16B0" w14:paraId="1623F03B" w14:textId="77777777" w:rsidTr="009D16B0">
        <w:tc>
          <w:tcPr>
            <w:tcW w:w="3116" w:type="dxa"/>
            <w:vAlign w:val="bottom"/>
          </w:tcPr>
          <w:p w14:paraId="3D238B7D" w14:textId="77777777" w:rsidR="009D16B0" w:rsidRDefault="009D16B0" w:rsidP="00B43A4D">
            <w:pPr>
              <w:rPr>
                <w:rFonts w:ascii="Calibri" w:hAnsi="Calibri" w:cs="Calibri"/>
                <w:color w:val="000000"/>
              </w:rPr>
            </w:pPr>
            <w:r>
              <w:rPr>
                <w:rFonts w:ascii="Calibri" w:hAnsi="Calibri" w:cs="Calibri"/>
                <w:color w:val="000000"/>
              </w:rPr>
              <w:t>drainageAcres</w:t>
            </w:r>
          </w:p>
        </w:tc>
        <w:tc>
          <w:tcPr>
            <w:tcW w:w="5760" w:type="dxa"/>
          </w:tcPr>
          <w:p w14:paraId="17AAFFCC" w14:textId="77777777" w:rsidR="009D16B0" w:rsidRDefault="009D16B0" w:rsidP="00B43A4D">
            <w:r>
              <w:t>The contributing drainage area to the reach, in acres</w:t>
            </w:r>
          </w:p>
        </w:tc>
      </w:tr>
    </w:tbl>
    <w:p w14:paraId="7BC3C6F8" w14:textId="77777777" w:rsidR="009D16B0" w:rsidRDefault="009D16B0" w:rsidP="009D16B0"/>
    <w:p w14:paraId="20B5197F" w14:textId="77777777" w:rsidR="00BF16C8" w:rsidRDefault="00BF16C8" w:rsidP="009D16B0">
      <w:pPr>
        <w:pStyle w:val="ListParagraph"/>
        <w:numPr>
          <w:ilvl w:val="0"/>
          <w:numId w:val="5"/>
        </w:numPr>
      </w:pPr>
      <w:r w:rsidRPr="00BF16C8">
        <w:t>Sand and Gravel</w:t>
      </w:r>
    </w:p>
    <w:tbl>
      <w:tblPr>
        <w:tblStyle w:val="TableGrid"/>
        <w:tblW w:w="0" w:type="auto"/>
        <w:tblLook w:val="04A0" w:firstRow="1" w:lastRow="0" w:firstColumn="1" w:lastColumn="0" w:noHBand="0" w:noVBand="1"/>
      </w:tblPr>
      <w:tblGrid>
        <w:gridCol w:w="3116"/>
        <w:gridCol w:w="5760"/>
      </w:tblGrid>
      <w:tr w:rsidR="00685F08" w14:paraId="2E618239" w14:textId="77777777" w:rsidTr="00B43A4D">
        <w:tc>
          <w:tcPr>
            <w:tcW w:w="3116" w:type="dxa"/>
            <w:shd w:val="clear" w:color="auto" w:fill="F2F2F2" w:themeFill="background1" w:themeFillShade="F2"/>
          </w:tcPr>
          <w:p w14:paraId="5E9FEB49" w14:textId="77777777" w:rsidR="00685F08" w:rsidRPr="009967A0" w:rsidRDefault="00685F08" w:rsidP="00B43A4D">
            <w:pPr>
              <w:jc w:val="center"/>
              <w:rPr>
                <w:b/>
              </w:rPr>
            </w:pPr>
            <w:r w:rsidRPr="009967A0">
              <w:rPr>
                <w:b/>
              </w:rPr>
              <w:t>Field Name</w:t>
            </w:r>
          </w:p>
        </w:tc>
        <w:tc>
          <w:tcPr>
            <w:tcW w:w="5760" w:type="dxa"/>
            <w:shd w:val="clear" w:color="auto" w:fill="F2F2F2" w:themeFill="background1" w:themeFillShade="F2"/>
          </w:tcPr>
          <w:p w14:paraId="38123AAB" w14:textId="77777777" w:rsidR="00685F08" w:rsidRPr="009967A0" w:rsidRDefault="00685F08" w:rsidP="00B43A4D">
            <w:pPr>
              <w:jc w:val="center"/>
              <w:rPr>
                <w:b/>
              </w:rPr>
            </w:pPr>
            <w:r w:rsidRPr="009967A0">
              <w:rPr>
                <w:b/>
              </w:rPr>
              <w:t>Description</w:t>
            </w:r>
          </w:p>
        </w:tc>
      </w:tr>
      <w:tr w:rsidR="00685F08" w14:paraId="2A6E6D1F" w14:textId="77777777" w:rsidTr="00B43A4D">
        <w:tc>
          <w:tcPr>
            <w:tcW w:w="3116" w:type="dxa"/>
            <w:vAlign w:val="bottom"/>
          </w:tcPr>
          <w:p w14:paraId="6DCD7ED9" w14:textId="77777777" w:rsidR="00685F08" w:rsidRDefault="00685F08" w:rsidP="00685F08">
            <w:pPr>
              <w:rPr>
                <w:rFonts w:ascii="Calibri" w:hAnsi="Calibri" w:cs="Calibri"/>
                <w:color w:val="000000"/>
              </w:rPr>
            </w:pPr>
            <w:r>
              <w:rPr>
                <w:rFonts w:ascii="Calibri" w:hAnsi="Calibri" w:cs="Calibri"/>
                <w:color w:val="000000"/>
              </w:rPr>
              <w:t>exBankSlope</w:t>
            </w:r>
          </w:p>
        </w:tc>
        <w:tc>
          <w:tcPr>
            <w:tcW w:w="5760" w:type="dxa"/>
          </w:tcPr>
          <w:p w14:paraId="7F88493C" w14:textId="77777777" w:rsidR="00685F08" w:rsidRDefault="00965261" w:rsidP="00835F6F">
            <w:r>
              <w:t>Existing bank slope</w:t>
            </w:r>
            <w:r w:rsidR="00835F6F">
              <w:t xml:space="preserve"> / channel side slope</w:t>
            </w:r>
            <w:r>
              <w:t xml:space="preserve"> (V:H)</w:t>
            </w:r>
          </w:p>
        </w:tc>
      </w:tr>
      <w:tr w:rsidR="00685F08" w14:paraId="24E8B949" w14:textId="77777777" w:rsidTr="00B43A4D">
        <w:tc>
          <w:tcPr>
            <w:tcW w:w="3116" w:type="dxa"/>
            <w:vAlign w:val="bottom"/>
          </w:tcPr>
          <w:p w14:paraId="695D0E82" w14:textId="77777777" w:rsidR="00685F08" w:rsidRDefault="00685F08" w:rsidP="00685F08">
            <w:pPr>
              <w:rPr>
                <w:rFonts w:ascii="Calibri" w:hAnsi="Calibri" w:cs="Calibri"/>
                <w:color w:val="000000"/>
              </w:rPr>
            </w:pPr>
            <w:r>
              <w:rPr>
                <w:rFonts w:ascii="Calibri" w:hAnsi="Calibri" w:cs="Calibri"/>
                <w:color w:val="000000"/>
              </w:rPr>
              <w:t>manningsN</w:t>
            </w:r>
          </w:p>
        </w:tc>
        <w:tc>
          <w:tcPr>
            <w:tcW w:w="5760" w:type="dxa"/>
          </w:tcPr>
          <w:p w14:paraId="32027FAC" w14:textId="77777777" w:rsidR="00685F08" w:rsidRPr="00835F6F" w:rsidRDefault="00835F6F" w:rsidP="00685F08">
            <w:r>
              <w:t xml:space="preserve">Manning’s roughness coefficient </w:t>
            </w:r>
            <w:r w:rsidRPr="00835F6F">
              <w:rPr>
                <w:i/>
              </w:rPr>
              <w:t>n</w:t>
            </w:r>
            <w:r>
              <w:t>, default 0.025</w:t>
            </w:r>
          </w:p>
        </w:tc>
      </w:tr>
      <w:tr w:rsidR="00685F08" w14:paraId="0EC8E90E" w14:textId="77777777" w:rsidTr="00B43A4D">
        <w:tc>
          <w:tcPr>
            <w:tcW w:w="3116" w:type="dxa"/>
            <w:vAlign w:val="bottom"/>
          </w:tcPr>
          <w:p w14:paraId="0F18EA28" w14:textId="77777777" w:rsidR="00685F08" w:rsidRDefault="00685F08" w:rsidP="00685F08">
            <w:pPr>
              <w:rPr>
                <w:rFonts w:ascii="Calibri" w:hAnsi="Calibri" w:cs="Calibri"/>
                <w:color w:val="000000"/>
              </w:rPr>
            </w:pPr>
            <w:r>
              <w:rPr>
                <w:rFonts w:ascii="Calibri" w:hAnsi="Calibri" w:cs="Calibri"/>
                <w:color w:val="000000"/>
              </w:rPr>
              <w:t>flowRate</w:t>
            </w:r>
          </w:p>
        </w:tc>
        <w:tc>
          <w:tcPr>
            <w:tcW w:w="5760" w:type="dxa"/>
          </w:tcPr>
          <w:p w14:paraId="49DBC2B1" w14:textId="77777777" w:rsidR="00685F08" w:rsidRDefault="00835F6F" w:rsidP="00685F08">
            <w:r>
              <w:t>10-year flow rate (CFS)</w:t>
            </w:r>
          </w:p>
        </w:tc>
      </w:tr>
      <w:tr w:rsidR="00685F08" w14:paraId="1683F6A8" w14:textId="77777777" w:rsidTr="00B43A4D">
        <w:tc>
          <w:tcPr>
            <w:tcW w:w="3116" w:type="dxa"/>
            <w:vAlign w:val="bottom"/>
          </w:tcPr>
          <w:p w14:paraId="4CA16F03" w14:textId="77777777" w:rsidR="00685F08" w:rsidRDefault="00685F08" w:rsidP="00685F08">
            <w:pPr>
              <w:rPr>
                <w:rFonts w:ascii="Calibri" w:hAnsi="Calibri" w:cs="Calibri"/>
                <w:color w:val="000000"/>
              </w:rPr>
            </w:pPr>
            <w:r>
              <w:rPr>
                <w:rFonts w:ascii="Calibri" w:hAnsi="Calibri" w:cs="Calibri"/>
                <w:color w:val="000000"/>
              </w:rPr>
              <w:t>initialValDepth</w:t>
            </w:r>
          </w:p>
        </w:tc>
        <w:tc>
          <w:tcPr>
            <w:tcW w:w="5760" w:type="dxa"/>
          </w:tcPr>
          <w:p w14:paraId="682CB761" w14:textId="77777777" w:rsidR="00685F08" w:rsidRDefault="00835F6F" w:rsidP="00685F08">
            <w:r>
              <w:t>Initial estimate of normal depth (feet), default 0.2</w:t>
            </w:r>
          </w:p>
        </w:tc>
      </w:tr>
    </w:tbl>
    <w:p w14:paraId="5F9A4C84" w14:textId="77777777" w:rsidR="009D16B0" w:rsidRDefault="009D16B0" w:rsidP="009D16B0"/>
    <w:p w14:paraId="3D765AB7" w14:textId="77777777" w:rsidR="00BF16C8" w:rsidRDefault="00BF16C8" w:rsidP="009D16B0">
      <w:pPr>
        <w:pStyle w:val="ListParagraph"/>
        <w:numPr>
          <w:ilvl w:val="0"/>
          <w:numId w:val="5"/>
        </w:numPr>
      </w:pPr>
      <w:r w:rsidRPr="00BF16C8">
        <w:t>Coarser Than Sand</w:t>
      </w:r>
    </w:p>
    <w:tbl>
      <w:tblPr>
        <w:tblStyle w:val="TableGrid"/>
        <w:tblW w:w="0" w:type="auto"/>
        <w:tblLook w:val="04A0" w:firstRow="1" w:lastRow="0" w:firstColumn="1" w:lastColumn="0" w:noHBand="0" w:noVBand="1"/>
      </w:tblPr>
      <w:tblGrid>
        <w:gridCol w:w="3116"/>
        <w:gridCol w:w="5760"/>
      </w:tblGrid>
      <w:tr w:rsidR="00835F6F" w:rsidRPr="009967A0" w14:paraId="5524F6D5" w14:textId="77777777" w:rsidTr="00B43A4D">
        <w:tc>
          <w:tcPr>
            <w:tcW w:w="3116" w:type="dxa"/>
            <w:shd w:val="clear" w:color="auto" w:fill="F2F2F2" w:themeFill="background1" w:themeFillShade="F2"/>
          </w:tcPr>
          <w:p w14:paraId="0082F481" w14:textId="77777777" w:rsidR="00835F6F" w:rsidRPr="009967A0" w:rsidRDefault="00835F6F" w:rsidP="00B43A4D">
            <w:pPr>
              <w:jc w:val="center"/>
              <w:rPr>
                <w:b/>
              </w:rPr>
            </w:pPr>
            <w:r w:rsidRPr="009967A0">
              <w:rPr>
                <w:b/>
              </w:rPr>
              <w:t>Field Name</w:t>
            </w:r>
          </w:p>
        </w:tc>
        <w:tc>
          <w:tcPr>
            <w:tcW w:w="5760" w:type="dxa"/>
            <w:shd w:val="clear" w:color="auto" w:fill="F2F2F2" w:themeFill="background1" w:themeFillShade="F2"/>
          </w:tcPr>
          <w:p w14:paraId="3AEA9A0F" w14:textId="77777777" w:rsidR="00835F6F" w:rsidRPr="009967A0" w:rsidRDefault="00835F6F" w:rsidP="00B43A4D">
            <w:pPr>
              <w:jc w:val="center"/>
              <w:rPr>
                <w:b/>
              </w:rPr>
            </w:pPr>
            <w:r w:rsidRPr="009967A0">
              <w:rPr>
                <w:b/>
              </w:rPr>
              <w:t>Description</w:t>
            </w:r>
          </w:p>
        </w:tc>
      </w:tr>
      <w:tr w:rsidR="00835F6F" w14:paraId="1A6A05F7" w14:textId="77777777" w:rsidTr="00B43A4D">
        <w:tc>
          <w:tcPr>
            <w:tcW w:w="3116" w:type="dxa"/>
            <w:vAlign w:val="bottom"/>
          </w:tcPr>
          <w:p w14:paraId="061E3654" w14:textId="77777777" w:rsidR="00835F6F" w:rsidRDefault="00835F6F" w:rsidP="00835F6F">
            <w:pPr>
              <w:rPr>
                <w:rFonts w:ascii="Calibri" w:hAnsi="Calibri" w:cs="Calibri"/>
                <w:color w:val="000000"/>
              </w:rPr>
            </w:pPr>
            <w:r>
              <w:rPr>
                <w:rFonts w:ascii="Calibri" w:hAnsi="Calibri" w:cs="Calibri"/>
                <w:color w:val="000000"/>
              </w:rPr>
              <w:t>manningsN</w:t>
            </w:r>
          </w:p>
        </w:tc>
        <w:tc>
          <w:tcPr>
            <w:tcW w:w="5760" w:type="dxa"/>
          </w:tcPr>
          <w:p w14:paraId="5016EC09" w14:textId="77777777" w:rsidR="00835F6F" w:rsidRPr="00835F6F" w:rsidRDefault="00835F6F" w:rsidP="00835F6F">
            <w:r>
              <w:t>Manning’s roughness coefficient</w:t>
            </w:r>
            <w:r w:rsidR="00825932">
              <w:t>,</w:t>
            </w:r>
            <w:r>
              <w:t xml:space="preserve"> </w:t>
            </w:r>
            <w:r w:rsidRPr="00835F6F">
              <w:rPr>
                <w:i/>
              </w:rPr>
              <w:t>n</w:t>
            </w:r>
            <w:r>
              <w:t>, default 0.025</w:t>
            </w:r>
          </w:p>
        </w:tc>
      </w:tr>
      <w:tr w:rsidR="00825932" w:rsidRPr="00835F6F" w14:paraId="6F0C5523" w14:textId="77777777" w:rsidTr="00B43A4D">
        <w:tc>
          <w:tcPr>
            <w:tcW w:w="3116" w:type="dxa"/>
            <w:vAlign w:val="bottom"/>
          </w:tcPr>
          <w:p w14:paraId="70738F66" w14:textId="77777777" w:rsidR="00825932" w:rsidRDefault="00825932" w:rsidP="00825932">
            <w:pPr>
              <w:rPr>
                <w:rFonts w:ascii="Calibri" w:hAnsi="Calibri" w:cs="Calibri"/>
                <w:color w:val="000000"/>
              </w:rPr>
            </w:pPr>
            <w:r>
              <w:rPr>
                <w:rFonts w:ascii="Calibri" w:hAnsi="Calibri" w:cs="Calibri"/>
                <w:color w:val="000000"/>
              </w:rPr>
              <w:t>shieldsParam</w:t>
            </w:r>
          </w:p>
        </w:tc>
        <w:tc>
          <w:tcPr>
            <w:tcW w:w="5760" w:type="dxa"/>
          </w:tcPr>
          <w:p w14:paraId="1C511E83" w14:textId="77777777" w:rsidR="00825932" w:rsidRPr="00835F6F" w:rsidRDefault="00825932" w:rsidP="00825932">
            <w:r>
              <w:t xml:space="preserve">Shield’s parameter, </w:t>
            </w:r>
            <w:r w:rsidRPr="00825932">
              <w:t>θ</w:t>
            </w:r>
            <w:r w:rsidRPr="00825932">
              <w:rPr>
                <w:vertAlign w:val="subscript"/>
              </w:rPr>
              <w:t>c</w:t>
            </w:r>
            <w:bookmarkStart w:id="0" w:name="_GoBack"/>
            <w:bookmarkEnd w:id="0"/>
          </w:p>
        </w:tc>
      </w:tr>
      <w:tr w:rsidR="00825932" w:rsidRPr="00835F6F" w14:paraId="0655713D" w14:textId="77777777" w:rsidTr="00B43A4D">
        <w:tc>
          <w:tcPr>
            <w:tcW w:w="3116" w:type="dxa"/>
            <w:vAlign w:val="bottom"/>
          </w:tcPr>
          <w:p w14:paraId="472B1FD8" w14:textId="77777777" w:rsidR="00825932" w:rsidRDefault="00825932" w:rsidP="00825932">
            <w:pPr>
              <w:rPr>
                <w:rFonts w:ascii="Calibri" w:hAnsi="Calibri" w:cs="Calibri"/>
                <w:color w:val="000000"/>
              </w:rPr>
            </w:pPr>
            <w:r>
              <w:rPr>
                <w:rFonts w:ascii="Calibri" w:hAnsi="Calibri" w:cs="Calibri"/>
                <w:color w:val="000000"/>
              </w:rPr>
              <w:t>critBedParam</w:t>
            </w:r>
          </w:p>
        </w:tc>
        <w:tc>
          <w:tcPr>
            <w:tcW w:w="5760" w:type="dxa"/>
          </w:tcPr>
          <w:p w14:paraId="5C716C52" w14:textId="77777777" w:rsidR="00825932" w:rsidRDefault="00825932" w:rsidP="00825932">
            <w:r>
              <w:t>Critical bed material size, D</w:t>
            </w:r>
            <w:r>
              <w:rPr>
                <w:vertAlign w:val="subscript"/>
              </w:rPr>
              <w:t>c</w:t>
            </w:r>
            <w:r>
              <w:t xml:space="preserve"> (feet)</w:t>
            </w:r>
          </w:p>
        </w:tc>
      </w:tr>
      <w:tr w:rsidR="00825932" w:rsidRPr="00835F6F" w14:paraId="0D4E8166" w14:textId="77777777" w:rsidTr="00B43A4D">
        <w:tc>
          <w:tcPr>
            <w:tcW w:w="3116" w:type="dxa"/>
            <w:vAlign w:val="bottom"/>
          </w:tcPr>
          <w:p w14:paraId="16E5F6C5" w14:textId="77777777" w:rsidR="00825932" w:rsidRDefault="00825932" w:rsidP="00825932">
            <w:pPr>
              <w:rPr>
                <w:rFonts w:ascii="Calibri" w:hAnsi="Calibri" w:cs="Calibri"/>
                <w:color w:val="000000"/>
              </w:rPr>
            </w:pPr>
            <w:r>
              <w:rPr>
                <w:rFonts w:ascii="Calibri" w:hAnsi="Calibri" w:cs="Calibri"/>
                <w:color w:val="000000"/>
              </w:rPr>
              <w:t>chanFormDischperUnitWidth</w:t>
            </w:r>
          </w:p>
        </w:tc>
        <w:tc>
          <w:tcPr>
            <w:tcW w:w="5760" w:type="dxa"/>
          </w:tcPr>
          <w:p w14:paraId="0F38B398" w14:textId="77777777" w:rsidR="00825932" w:rsidRPr="00825932" w:rsidRDefault="00825932" w:rsidP="00825932">
            <w:r>
              <w:t>Channel forming discharge per unit width, q (feet</w:t>
            </w:r>
            <w:r>
              <w:rPr>
                <w:vertAlign w:val="superscript"/>
              </w:rPr>
              <w:t>2</w:t>
            </w:r>
            <w:r>
              <w:t>/second)</w:t>
            </w:r>
          </w:p>
        </w:tc>
      </w:tr>
      <w:tr w:rsidR="00825932" w:rsidRPr="00835F6F" w14:paraId="1E8D9345" w14:textId="77777777" w:rsidTr="00B43A4D">
        <w:tc>
          <w:tcPr>
            <w:tcW w:w="3116" w:type="dxa"/>
            <w:vAlign w:val="bottom"/>
          </w:tcPr>
          <w:p w14:paraId="17C6DBDB" w14:textId="77777777" w:rsidR="00825932" w:rsidRDefault="00825932" w:rsidP="00825932">
            <w:pPr>
              <w:rPr>
                <w:rFonts w:ascii="Calibri" w:hAnsi="Calibri" w:cs="Calibri"/>
                <w:color w:val="000000"/>
              </w:rPr>
            </w:pPr>
            <w:r>
              <w:rPr>
                <w:rFonts w:ascii="Calibri" w:hAnsi="Calibri" w:cs="Calibri"/>
                <w:color w:val="000000"/>
              </w:rPr>
              <w:t>designDisch</w:t>
            </w:r>
          </w:p>
        </w:tc>
        <w:tc>
          <w:tcPr>
            <w:tcW w:w="5760" w:type="dxa"/>
          </w:tcPr>
          <w:p w14:paraId="42ED2412" w14:textId="77777777" w:rsidR="00825932" w:rsidRDefault="00825932" w:rsidP="00825932">
            <w:r>
              <w:t>Design discharge, Q</w:t>
            </w:r>
            <w:r>
              <w:rPr>
                <w:vertAlign w:val="subscript"/>
              </w:rPr>
              <w:t>d</w:t>
            </w:r>
            <w:r>
              <w:t xml:space="preserve"> (CFS)</w:t>
            </w:r>
          </w:p>
        </w:tc>
      </w:tr>
      <w:tr w:rsidR="00825932" w:rsidRPr="00835F6F" w14:paraId="0F055204" w14:textId="77777777" w:rsidTr="00B43A4D">
        <w:tc>
          <w:tcPr>
            <w:tcW w:w="3116" w:type="dxa"/>
            <w:vAlign w:val="bottom"/>
          </w:tcPr>
          <w:p w14:paraId="3857718B" w14:textId="77777777" w:rsidR="00825932" w:rsidRDefault="00825932" w:rsidP="00825932">
            <w:pPr>
              <w:rPr>
                <w:rFonts w:ascii="Calibri" w:hAnsi="Calibri" w:cs="Calibri"/>
                <w:color w:val="000000"/>
              </w:rPr>
            </w:pPr>
            <w:r>
              <w:rPr>
                <w:rFonts w:ascii="Calibri" w:hAnsi="Calibri" w:cs="Calibri"/>
                <w:color w:val="000000"/>
              </w:rPr>
              <w:t>meanGrainSize</w:t>
            </w:r>
          </w:p>
        </w:tc>
        <w:tc>
          <w:tcPr>
            <w:tcW w:w="5760" w:type="dxa"/>
          </w:tcPr>
          <w:p w14:paraId="0DABB32C" w14:textId="77777777" w:rsidR="00825932" w:rsidRDefault="00825932" w:rsidP="00825932">
            <w:r>
              <w:t>Mean grain size D</w:t>
            </w:r>
            <w:r w:rsidRPr="00E7032A">
              <w:rPr>
                <w:vertAlign w:val="subscript"/>
              </w:rPr>
              <w:t>m</w:t>
            </w:r>
            <w:r>
              <w:t xml:space="preserve"> (mm)</w:t>
            </w:r>
          </w:p>
        </w:tc>
      </w:tr>
      <w:tr w:rsidR="00825932" w:rsidRPr="00835F6F" w14:paraId="352C26B0" w14:textId="77777777" w:rsidTr="00B43A4D">
        <w:tc>
          <w:tcPr>
            <w:tcW w:w="3116" w:type="dxa"/>
            <w:vAlign w:val="bottom"/>
          </w:tcPr>
          <w:p w14:paraId="5A280B50" w14:textId="77777777" w:rsidR="00825932" w:rsidRDefault="00825932" w:rsidP="00825932">
            <w:pPr>
              <w:rPr>
                <w:rFonts w:ascii="Calibri" w:hAnsi="Calibri" w:cs="Calibri"/>
                <w:color w:val="000000"/>
              </w:rPr>
            </w:pPr>
            <w:r>
              <w:rPr>
                <w:rFonts w:ascii="Calibri" w:hAnsi="Calibri" w:cs="Calibri"/>
                <w:color w:val="000000"/>
              </w:rPr>
              <w:t>medGrainSize</w:t>
            </w:r>
          </w:p>
        </w:tc>
        <w:tc>
          <w:tcPr>
            <w:tcW w:w="5760" w:type="dxa"/>
          </w:tcPr>
          <w:p w14:paraId="4D46EE2E" w14:textId="77777777" w:rsidR="00825932" w:rsidRDefault="00825932" w:rsidP="00825932">
            <w:r>
              <w:t>Median grain size D</w:t>
            </w:r>
            <w:r w:rsidRPr="00E7032A">
              <w:rPr>
                <w:vertAlign w:val="subscript"/>
              </w:rPr>
              <w:t>50</w:t>
            </w:r>
            <w:r>
              <w:t xml:space="preserve"> (mm)</w:t>
            </w:r>
          </w:p>
        </w:tc>
      </w:tr>
    </w:tbl>
    <w:p w14:paraId="79D50ED1" w14:textId="77777777" w:rsidR="00BF16C8" w:rsidRDefault="00BF16C8"/>
    <w:p w14:paraId="7DA662CE" w14:textId="77777777" w:rsidR="009D16B0" w:rsidRDefault="00E7032A" w:rsidP="009D16B0">
      <w:r>
        <w:t xml:space="preserve">See the MDOT SHA document </w:t>
      </w:r>
      <w:r>
        <w:rPr>
          <w:i/>
        </w:rPr>
        <w:t xml:space="preserve">Alternative Headwater Channel and Outfall Crediting Protocol </w:t>
      </w:r>
      <w:r>
        <w:t>for additional information.</w:t>
      </w:r>
    </w:p>
    <w:p w14:paraId="732974D7" w14:textId="77777777" w:rsidR="003B2637" w:rsidRDefault="00D66313" w:rsidP="00D66313">
      <w:pPr>
        <w:pStyle w:val="Heading1"/>
      </w:pPr>
      <w:r>
        <w:t xml:space="preserve">Reach </w:t>
      </w:r>
      <w:r w:rsidR="00436EF9">
        <w:t>Connectivity – Continuous Equilibrium</w:t>
      </w:r>
      <w:r w:rsidR="00631B4F">
        <w:t xml:space="preserve"> Elevation</w:t>
      </w:r>
    </w:p>
    <w:p w14:paraId="18744DA0" w14:textId="0FC79156" w:rsidR="00436EF9" w:rsidRDefault="00D66313" w:rsidP="00D66313">
      <w:r>
        <w:t xml:space="preserve">A project may contain reaches with different channel attributes that </w:t>
      </w:r>
      <w:r w:rsidR="003F0629">
        <w:t xml:space="preserve">must be </w:t>
      </w:r>
      <w:r>
        <w:t xml:space="preserve">represented by multiple </w:t>
      </w:r>
      <w:r w:rsidR="003F0629">
        <w:t xml:space="preserve">connected </w:t>
      </w:r>
      <w:r>
        <w:t xml:space="preserve">line features.  </w:t>
      </w:r>
      <w:r w:rsidR="00436EF9">
        <w:t xml:space="preserve">The tool parameter </w:t>
      </w:r>
      <w:r w:rsidR="00436EF9">
        <w:rPr>
          <w:i/>
        </w:rPr>
        <w:t>Reach Connectivity Method</w:t>
      </w:r>
      <w:r w:rsidR="00436EF9">
        <w:t xml:space="preserve"> has two options:</w:t>
      </w:r>
    </w:p>
    <w:p w14:paraId="40D2ADCB" w14:textId="77777777" w:rsidR="00436EF9" w:rsidRDefault="00436EF9" w:rsidP="00436EF9">
      <w:pPr>
        <w:pStyle w:val="ListParagraph"/>
        <w:numPr>
          <w:ilvl w:val="0"/>
          <w:numId w:val="4"/>
        </w:numPr>
      </w:pPr>
      <w:r>
        <w:t xml:space="preserve">Segmented </w:t>
      </w:r>
      <w:r w:rsidR="00631B4F">
        <w:t>–</w:t>
      </w:r>
      <w:r>
        <w:t xml:space="preserve"> </w:t>
      </w:r>
      <w:r w:rsidR="00631B4F">
        <w:t>Reaches are processed</w:t>
      </w:r>
      <w:r>
        <w:t xml:space="preserve"> in distinct segments, using the DEM for initial elevation</w:t>
      </w:r>
    </w:p>
    <w:p w14:paraId="6D622733" w14:textId="77777777" w:rsidR="00D66313" w:rsidRDefault="00436EF9" w:rsidP="00436EF9">
      <w:pPr>
        <w:pStyle w:val="ListParagraph"/>
        <w:numPr>
          <w:ilvl w:val="0"/>
          <w:numId w:val="4"/>
        </w:numPr>
      </w:pPr>
      <w:r>
        <w:t>Continuous</w:t>
      </w:r>
      <w:r w:rsidR="00631B4F">
        <w:t xml:space="preserve"> –</w:t>
      </w:r>
      <w:r>
        <w:t xml:space="preserve"> </w:t>
      </w:r>
      <w:r w:rsidR="00631B4F">
        <w:t xml:space="preserve">Reaches are processed as a </w:t>
      </w:r>
      <w:r>
        <w:t xml:space="preserve">connected channel, where the initial elevation is </w:t>
      </w:r>
      <w:r w:rsidR="00631B4F">
        <w:t>determined</w:t>
      </w:r>
      <w:r>
        <w:t xml:space="preserve"> by the final elevation of the </w:t>
      </w:r>
      <w:r w:rsidR="00631B4F">
        <w:t xml:space="preserve">downstream </w:t>
      </w:r>
      <w:r>
        <w:t>connected reach</w:t>
      </w:r>
    </w:p>
    <w:p w14:paraId="6986C34A" w14:textId="77777777" w:rsidR="00B16030" w:rsidRDefault="00D66313" w:rsidP="00D66313">
      <w:pPr>
        <w:jc w:val="center"/>
      </w:pPr>
      <w:r>
        <w:rPr>
          <w:noProof/>
        </w:rPr>
        <w:lastRenderedPageBreak/>
        <w:drawing>
          <wp:inline distT="0" distB="0" distL="0" distR="0" wp14:anchorId="6D877BFE" wp14:editId="01ACA87A">
            <wp:extent cx="4572000" cy="2553934"/>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2553934"/>
                    </a:xfrm>
                    <a:prstGeom prst="rect">
                      <a:avLst/>
                    </a:prstGeom>
                    <a:noFill/>
                    <a:ln>
                      <a:solidFill>
                        <a:schemeClr val="tx1"/>
                      </a:solidFill>
                    </a:ln>
                  </pic:spPr>
                </pic:pic>
              </a:graphicData>
            </a:graphic>
          </wp:inline>
        </w:drawing>
      </w:r>
    </w:p>
    <w:p w14:paraId="71FEE025" w14:textId="77777777" w:rsidR="00436EF9" w:rsidRPr="00436EF9" w:rsidRDefault="00436EF9" w:rsidP="00436EF9">
      <w:r>
        <w:t xml:space="preserve">If using the continuous method, the </w:t>
      </w:r>
      <w:r>
        <w:rPr>
          <w:i/>
        </w:rPr>
        <w:t>fromOID</w:t>
      </w:r>
      <w:r>
        <w:t xml:space="preserve"> field in the template line feature class must be populated.  In the example above, the </w:t>
      </w:r>
      <w:r>
        <w:rPr>
          <w:i/>
        </w:rPr>
        <w:t>fromOID</w:t>
      </w:r>
      <w:r>
        <w:t xml:space="preserve"> value of Reach 3 would be the </w:t>
      </w:r>
      <w:r>
        <w:rPr>
          <w:i/>
        </w:rPr>
        <w:t>ObjectID</w:t>
      </w:r>
      <w:r>
        <w:t xml:space="preserve"> of Reach 2, and the </w:t>
      </w:r>
      <w:r>
        <w:rPr>
          <w:i/>
        </w:rPr>
        <w:t>fromOID</w:t>
      </w:r>
      <w:r>
        <w:t xml:space="preserve"> value of Reach 2 would be the </w:t>
      </w:r>
      <w:r>
        <w:rPr>
          <w:i/>
        </w:rPr>
        <w:t>ObjectID</w:t>
      </w:r>
      <w:r>
        <w:t xml:space="preserve"> of Reach 1.  A feature does not need a value in the </w:t>
      </w:r>
      <w:r>
        <w:rPr>
          <w:i/>
        </w:rPr>
        <w:t>fromOID</w:t>
      </w:r>
      <w:r>
        <w:t xml:space="preserve"> field if its initial elevation is determined by the DEM and not another feature (in the example above, </w:t>
      </w:r>
      <w:r>
        <w:rPr>
          <w:i/>
        </w:rPr>
        <w:t>fromOID</w:t>
      </w:r>
      <w:r>
        <w:t xml:space="preserve"> for Reach 1 would be blank). </w:t>
      </w:r>
    </w:p>
    <w:p w14:paraId="59E9EBB8" w14:textId="338A9704" w:rsidR="00436EF9" w:rsidRDefault="00090C8C" w:rsidP="00090C8C">
      <w:pPr>
        <w:pStyle w:val="Heading1"/>
      </w:pPr>
      <w:r>
        <w:t>Output</w:t>
      </w:r>
    </w:p>
    <w:p w14:paraId="02989B4D" w14:textId="6F4846BF" w:rsidR="00090C8C" w:rsidRDefault="00090C8C" w:rsidP="00090C8C">
      <w:r>
        <w:t>The tool generates raster and polygon feature class output.  The default output workspace is the Scratch Geodatabase environment variable.</w:t>
      </w:r>
    </w:p>
    <w:p w14:paraId="42CEFA7C" w14:textId="619D82C2" w:rsidR="00090C8C" w:rsidRDefault="00090C8C" w:rsidP="00090C8C">
      <w:r>
        <w:t>The raster output is in feet, with a cell size of 1 foot.</w:t>
      </w:r>
    </w:p>
    <w:p w14:paraId="66A7EC5B" w14:textId="7CDC447F" w:rsidR="00090C8C" w:rsidRPr="00090C8C" w:rsidRDefault="00090C8C" w:rsidP="00090C8C">
      <w:r>
        <w:t xml:space="preserve">The polygon feature class is the extent of the equilibrium channel raster. It contains a field </w:t>
      </w:r>
      <w:r>
        <w:rPr>
          <w:i/>
        </w:rPr>
        <w:t>Vol_yr</w:t>
      </w:r>
      <w:r>
        <w:t xml:space="preserve"> containing the annual credit volume in cubic feet, assuming a 30 year period and 50% efficiency.</w:t>
      </w:r>
    </w:p>
    <w:p w14:paraId="2469AA47" w14:textId="17DBE0E8" w:rsidR="00090C8C" w:rsidRDefault="00090C8C" w:rsidP="00090C8C">
      <w:pPr>
        <w:pStyle w:val="Heading1"/>
      </w:pPr>
      <w:r>
        <w:t>Set Raster Symbology Tool</w:t>
      </w:r>
    </w:p>
    <w:p w14:paraId="293CAD94" w14:textId="3B1259EB" w:rsidR="00090C8C" w:rsidRDefault="00090C8C" w:rsidP="00090C8C">
      <w:r>
        <w:t xml:space="preserve">The Python toolbox also includes the Set Raster Symbology Tool.  This </w:t>
      </w:r>
      <w:r w:rsidR="005C7D7D">
        <w:t>tool applies a uniform symbology to multiple raster layers with a single operation:</w:t>
      </w:r>
    </w:p>
    <w:p w14:paraId="492F0E0A" w14:textId="0C68505A" w:rsidR="005C7D7D" w:rsidRDefault="005C7D7D" w:rsidP="005C7D7D">
      <w:pPr>
        <w:pStyle w:val="ListParagraph"/>
        <w:numPr>
          <w:ilvl w:val="0"/>
          <w:numId w:val="6"/>
        </w:numPr>
      </w:pPr>
      <w:r>
        <w:t xml:space="preserve">Primary Symbology: </w:t>
      </w:r>
      <w:r>
        <w:tab/>
        <w:t>Stretch</w:t>
      </w:r>
    </w:p>
    <w:p w14:paraId="67F1FB4B" w14:textId="280CC182" w:rsidR="005C7D7D" w:rsidRDefault="005C7D7D" w:rsidP="005C7D7D">
      <w:pPr>
        <w:pStyle w:val="ListParagraph"/>
        <w:numPr>
          <w:ilvl w:val="0"/>
          <w:numId w:val="6"/>
        </w:numPr>
      </w:pPr>
      <w:r>
        <w:t xml:space="preserve">Stretch Type: </w:t>
      </w:r>
      <w:r>
        <w:tab/>
      </w:r>
      <w:r>
        <w:tab/>
        <w:t>Minimum Maximum</w:t>
      </w:r>
    </w:p>
    <w:p w14:paraId="10B53294" w14:textId="47F5866C" w:rsidR="005C7D7D" w:rsidRDefault="005C7D7D" w:rsidP="005C7D7D">
      <w:pPr>
        <w:pStyle w:val="ListParagraph"/>
        <w:numPr>
          <w:ilvl w:val="0"/>
          <w:numId w:val="6"/>
        </w:numPr>
      </w:pPr>
      <w:r>
        <w:t xml:space="preserve">Statistics: </w:t>
      </w:r>
      <w:r>
        <w:tab/>
      </w:r>
      <w:r>
        <w:tab/>
        <w:t>Custom</w:t>
      </w:r>
    </w:p>
    <w:p w14:paraId="5730915E" w14:textId="3132C2B0" w:rsidR="005C7D7D" w:rsidRDefault="005C7D7D" w:rsidP="005C7D7D">
      <w:pPr>
        <w:pStyle w:val="ListParagraph"/>
        <w:numPr>
          <w:ilvl w:val="0"/>
          <w:numId w:val="6"/>
        </w:numPr>
      </w:pPr>
      <w:r>
        <w:t xml:space="preserve">Min / Max values: </w:t>
      </w:r>
      <w:r>
        <w:tab/>
        <w:t>User Defined</w:t>
      </w:r>
    </w:p>
    <w:p w14:paraId="71A1B338" w14:textId="229E6ED9" w:rsidR="005C7D7D" w:rsidRDefault="005C7D7D" w:rsidP="005C7D7D">
      <w:pPr>
        <w:pStyle w:val="ListParagraph"/>
        <w:numPr>
          <w:ilvl w:val="0"/>
          <w:numId w:val="6"/>
        </w:numPr>
      </w:pPr>
      <w:r>
        <w:t xml:space="preserve">Color Ramp: </w:t>
      </w:r>
      <w:r>
        <w:tab/>
      </w:r>
      <w:r>
        <w:tab/>
        <w:t>User Defined</w:t>
      </w:r>
    </w:p>
    <w:p w14:paraId="5FC01194" w14:textId="49A431AB" w:rsidR="005C7D7D" w:rsidRPr="00090C8C" w:rsidRDefault="005C7D7D" w:rsidP="005C7D7D">
      <w:r>
        <w:t>Note that due to the limitations of the python CIM functions, the changes made to the ‘Statistics’ tab in the Symbology Window will not appear until closing and reopening the project, even though the raster symbology itself will immediately update.</w:t>
      </w:r>
    </w:p>
    <w:p w14:paraId="7E04CA7B" w14:textId="77777777" w:rsidR="003B2637" w:rsidRDefault="00674279" w:rsidP="00674279">
      <w:pPr>
        <w:pStyle w:val="Heading1"/>
      </w:pPr>
      <w:r>
        <w:lastRenderedPageBreak/>
        <w:t>Disclaimer</w:t>
      </w:r>
    </w:p>
    <w:p w14:paraId="18D8CC51" w14:textId="77777777" w:rsidR="00674279" w:rsidRDefault="00674279" w:rsidP="00674279">
      <w:r>
        <w:t xml:space="preserve">By acceptance of the GIS material, you agree as follows: </w:t>
      </w:r>
    </w:p>
    <w:p w14:paraId="50230E2D" w14:textId="77777777" w:rsidR="00674279" w:rsidRDefault="00674279" w:rsidP="00674279">
      <w:r>
        <w:t xml:space="preserve">The GIS material (the “material”) is made available by Anne Arundel County, Maryland (the “County”) as a public service. The material is for reference purposes only, and the County makes no representatives, warranties, or guarantees of the accuracy of the material. THE COUNTY MAKES NO AND DISCLAIMS ALL EXPRESS AND IMPLIED WARRANTIES RELATING TO THE MATERIAL, INCLUDING WARRANTIES OF MERCHANTABILITY, INTEGRATION, TITLE, AND FITNESS FOR A PARTICULAR PURPOSE. You release the County, its agents, servants, and employees, from any and all liability related to the material or any of it, including its accuracy, availability, use, and misuse. In no event shall the County be liable for any direct, indirect, incidental, consequential, or other damages, including savings, profits, fees, costs, loss of data, or business interruption, related in any way to the material or any of it, including its accuracy, availability, use, and misuse. </w:t>
      </w:r>
    </w:p>
    <w:p w14:paraId="6BE3AA83" w14:textId="77777777" w:rsidR="00674279" w:rsidRDefault="00674279" w:rsidP="00674279">
      <w:r>
        <w:t xml:space="preserve">The material is in the public domain and may be copied without permission. Citation to the source is requested. </w:t>
      </w:r>
    </w:p>
    <w:p w14:paraId="18115F73" w14:textId="77777777" w:rsidR="00674279" w:rsidRPr="00674279" w:rsidRDefault="00674279" w:rsidP="00674279">
      <w:r>
        <w:t xml:space="preserve">Any errors or omissions in the material should be reported to the Anne Arundel County Bureau of Watershed Protection and Restoration, TMDL Support Group. </w:t>
      </w:r>
    </w:p>
    <w:sectPr w:rsidR="00674279" w:rsidRPr="00674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2C6A"/>
    <w:multiLevelType w:val="hybridMultilevel"/>
    <w:tmpl w:val="540A843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0C40132D"/>
    <w:multiLevelType w:val="hybridMultilevel"/>
    <w:tmpl w:val="9E48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B1BA0"/>
    <w:multiLevelType w:val="hybridMultilevel"/>
    <w:tmpl w:val="E398F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5821E1"/>
    <w:multiLevelType w:val="hybridMultilevel"/>
    <w:tmpl w:val="EAD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14C6D"/>
    <w:multiLevelType w:val="hybridMultilevel"/>
    <w:tmpl w:val="6460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67D51"/>
    <w:multiLevelType w:val="hybridMultilevel"/>
    <w:tmpl w:val="9AE4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66B"/>
    <w:rsid w:val="00025271"/>
    <w:rsid w:val="00087DD6"/>
    <w:rsid w:val="00090C8C"/>
    <w:rsid w:val="00115063"/>
    <w:rsid w:val="001B0E76"/>
    <w:rsid w:val="00215ED3"/>
    <w:rsid w:val="002D1393"/>
    <w:rsid w:val="00372B22"/>
    <w:rsid w:val="003B2637"/>
    <w:rsid w:val="003F0629"/>
    <w:rsid w:val="00436EF9"/>
    <w:rsid w:val="004A2B1C"/>
    <w:rsid w:val="005C7D7D"/>
    <w:rsid w:val="00631B4F"/>
    <w:rsid w:val="00674279"/>
    <w:rsid w:val="00685F08"/>
    <w:rsid w:val="00691FCC"/>
    <w:rsid w:val="00825932"/>
    <w:rsid w:val="00835F6F"/>
    <w:rsid w:val="009574F4"/>
    <w:rsid w:val="00965261"/>
    <w:rsid w:val="009967A0"/>
    <w:rsid w:val="009D16B0"/>
    <w:rsid w:val="00B16030"/>
    <w:rsid w:val="00BF16C8"/>
    <w:rsid w:val="00CA666B"/>
    <w:rsid w:val="00D66313"/>
    <w:rsid w:val="00DB5CD5"/>
    <w:rsid w:val="00E70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8EAB"/>
  <w15:chartTrackingRefBased/>
  <w15:docId w15:val="{07B23B5A-7B1C-4FD9-B3DB-60D609CE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4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7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16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2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967A0"/>
    <w:pPr>
      <w:ind w:left="720"/>
      <w:contextualSpacing/>
    </w:pPr>
  </w:style>
  <w:style w:type="table" w:styleId="TableGrid">
    <w:name w:val="Table Grid"/>
    <w:basedOn w:val="TableNormal"/>
    <w:uiPriority w:val="39"/>
    <w:rsid w:val="00996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7A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967A0"/>
    <w:pPr>
      <w:spacing w:after="0" w:line="240" w:lineRule="auto"/>
    </w:pPr>
  </w:style>
  <w:style w:type="character" w:customStyle="1" w:styleId="Heading3Char">
    <w:name w:val="Heading 3 Char"/>
    <w:basedOn w:val="DefaultParagraphFont"/>
    <w:link w:val="Heading3"/>
    <w:uiPriority w:val="9"/>
    <w:rsid w:val="009D16B0"/>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835F6F"/>
    <w:rPr>
      <w:sz w:val="16"/>
      <w:szCs w:val="16"/>
    </w:rPr>
  </w:style>
  <w:style w:type="paragraph" w:styleId="CommentText">
    <w:name w:val="annotation text"/>
    <w:basedOn w:val="Normal"/>
    <w:link w:val="CommentTextChar"/>
    <w:uiPriority w:val="99"/>
    <w:semiHidden/>
    <w:unhideWhenUsed/>
    <w:rsid w:val="00835F6F"/>
    <w:pPr>
      <w:spacing w:line="240" w:lineRule="auto"/>
    </w:pPr>
    <w:rPr>
      <w:sz w:val="20"/>
      <w:szCs w:val="20"/>
    </w:rPr>
  </w:style>
  <w:style w:type="character" w:customStyle="1" w:styleId="CommentTextChar">
    <w:name w:val="Comment Text Char"/>
    <w:basedOn w:val="DefaultParagraphFont"/>
    <w:link w:val="CommentText"/>
    <w:uiPriority w:val="99"/>
    <w:semiHidden/>
    <w:rsid w:val="00835F6F"/>
    <w:rPr>
      <w:sz w:val="20"/>
      <w:szCs w:val="20"/>
    </w:rPr>
  </w:style>
  <w:style w:type="paragraph" w:styleId="CommentSubject">
    <w:name w:val="annotation subject"/>
    <w:basedOn w:val="CommentText"/>
    <w:next w:val="CommentText"/>
    <w:link w:val="CommentSubjectChar"/>
    <w:uiPriority w:val="99"/>
    <w:semiHidden/>
    <w:unhideWhenUsed/>
    <w:rsid w:val="00835F6F"/>
    <w:rPr>
      <w:b/>
      <w:bCs/>
    </w:rPr>
  </w:style>
  <w:style w:type="character" w:customStyle="1" w:styleId="CommentSubjectChar">
    <w:name w:val="Comment Subject Char"/>
    <w:basedOn w:val="CommentTextChar"/>
    <w:link w:val="CommentSubject"/>
    <w:uiPriority w:val="99"/>
    <w:semiHidden/>
    <w:rsid w:val="00835F6F"/>
    <w:rPr>
      <w:b/>
      <w:bCs/>
      <w:sz w:val="20"/>
      <w:szCs w:val="20"/>
    </w:rPr>
  </w:style>
  <w:style w:type="paragraph" w:styleId="BalloonText">
    <w:name w:val="Balloon Text"/>
    <w:basedOn w:val="Normal"/>
    <w:link w:val="BalloonTextChar"/>
    <w:uiPriority w:val="99"/>
    <w:semiHidden/>
    <w:unhideWhenUsed/>
    <w:rsid w:val="00835F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F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98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3344</TotalTime>
  <Pages>4</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Anne Arundel County</Company>
  <LinksUpToDate>false</LinksUpToDate>
  <CharactersWithSpaces>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Smith</dc:creator>
  <cp:keywords/>
  <dc:description/>
  <cp:lastModifiedBy>Joshua Thompson</cp:lastModifiedBy>
  <cp:revision>12</cp:revision>
  <dcterms:created xsi:type="dcterms:W3CDTF">2022-06-01T19:43:00Z</dcterms:created>
  <dcterms:modified xsi:type="dcterms:W3CDTF">2022-06-10T16:48:00Z</dcterms:modified>
</cp:coreProperties>
</file>