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Agreement Summary - Sentinel DeviceID Ltd</w:t>
      </w:r>
    </w:p>
    <w:p>
      <w:r>
        <w:t>Contract reference: VND-2026-014. Status: Active.</w:t>
      </w:r>
    </w:p>
    <w:p>
      <w:pPr>
        <w:pStyle w:val="Heading1"/>
      </w:pPr>
      <w:r>
        <w:t>Parties</w:t>
      </w:r>
    </w:p>
    <w:p>
      <w:r>
        <w:t>Meridian Card Services partnered with Sentinel DeviceID Ltd, a device-fingerprinting company headquartered in Singapore. Sentinel DeviceID supplies the device trust score that Meridian uses in real-time fraud scoring.</w:t>
      </w:r>
    </w:p>
    <w:p>
      <w:pPr>
        <w:pStyle w:val="Heading1"/>
      </w:pPr>
      <w:r>
        <w:t>Scope</w:t>
      </w:r>
    </w:p>
    <w:p>
      <w:r>
        <w:t>Sentinel DeviceID provides a trust score from 0 to 99 for every card-not-present transaction. Scores below 40 are treated as Low Device Trust by the fraud engine. The integration is owned by Kavya Iyer, Lead Data Engineer.</w:t>
      </w:r>
    </w:p>
    <w:p>
      <w:pPr>
        <w:pStyle w:val="Heading1"/>
      </w:pPr>
      <w:r>
        <w:t>Approvals</w:t>
      </w:r>
    </w:p>
    <w:p>
      <w:r>
        <w:t>The agreement was approved by Daniel Brooks, Chief Information Security Officer, and signed off by Meera Nair, Head of Compliance, after a data-protection review.</w:t>
      </w:r>
    </w:p>
    <w:p>
      <w:pPr>
        <w:pStyle w:val="Heading1"/>
      </w:pPr>
      <w:r>
        <w:t>Rollout</w:t>
      </w:r>
    </w:p>
    <w:p>
      <w:r>
        <w:t>Phase 1 covered the Chennai and Singapore processing centres. Phase 2 extends coverage to the London office and all mobile channels, as recommended in the Q3 Fraud Risk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