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C2860" w14:textId="5196D79D" w:rsidR="009B160D" w:rsidRPr="00712ACF" w:rsidRDefault="001F1F2F" w:rsidP="00317DDE">
      <w:pPr>
        <w:jc w:val="center"/>
        <w:rPr>
          <w:b/>
          <w:bCs/>
          <w:sz w:val="24"/>
          <w:szCs w:val="24"/>
        </w:rPr>
      </w:pPr>
      <w:r w:rsidRPr="00712ACF">
        <w:rPr>
          <w:b/>
          <w:bCs/>
          <w:sz w:val="24"/>
          <w:szCs w:val="24"/>
        </w:rPr>
        <w:t>Music Genre Classification</w:t>
      </w:r>
      <w:r w:rsidR="005208D5" w:rsidRPr="00712ACF">
        <w:rPr>
          <w:b/>
          <w:bCs/>
          <w:sz w:val="24"/>
          <w:szCs w:val="24"/>
        </w:rPr>
        <w:t xml:space="preserve"> Using CNNs</w:t>
      </w:r>
    </w:p>
    <w:p w14:paraId="653F07ED" w14:textId="77777777" w:rsidR="00C73D74" w:rsidRDefault="005208D5" w:rsidP="00C73D74">
      <w:pPr>
        <w:jc w:val="center"/>
      </w:pPr>
      <w:r>
        <w:t xml:space="preserve">ST311 Group Project </w:t>
      </w:r>
      <w:r w:rsidR="008F2EA9">
        <w:t xml:space="preserve">by </w:t>
      </w:r>
      <w:r w:rsidR="00CE2066">
        <w:t>Ben Steiner and Oliver Mapps</w:t>
      </w:r>
    </w:p>
    <w:p w14:paraId="2AB14857" w14:textId="4353B47E" w:rsidR="00C73D74" w:rsidRPr="00C73D74" w:rsidRDefault="00E255EB" w:rsidP="00C73D74">
      <w:r w:rsidRPr="009061BD">
        <w:rPr>
          <w:rFonts w:cstheme="minorHAnsi"/>
          <w:b/>
          <w:bCs/>
        </w:rPr>
        <w:t xml:space="preserve">Dataset: </w:t>
      </w:r>
      <w:hyperlink r:id="rId5" w:history="1">
        <w:r w:rsidR="009061BD" w:rsidRPr="009061BD">
          <w:rPr>
            <w:rStyle w:val="Hyperlink"/>
            <w:rFonts w:cstheme="minorHAnsi"/>
          </w:rPr>
          <w:t>GTZAN Dataset - Music Genre Classification</w:t>
        </w:r>
      </w:hyperlink>
    </w:p>
    <w:p w14:paraId="4650C19A" w14:textId="7872F69B" w:rsidR="00712ACF" w:rsidRPr="005208D5" w:rsidRDefault="003A6FDD" w:rsidP="00CE2066">
      <w:r>
        <w:t xml:space="preserve">Our Dataset </w:t>
      </w:r>
      <w:r w:rsidR="00532147">
        <w:t>contains audio recordings of 1000</w:t>
      </w:r>
      <w:r w:rsidR="002546C5">
        <w:t xml:space="preserve"> </w:t>
      </w:r>
      <w:r w:rsidR="00532147">
        <w:t>songs,</w:t>
      </w:r>
      <w:r w:rsidR="00B62907">
        <w:t xml:space="preserve"> each 30 seconds long and</w:t>
      </w:r>
      <w:r w:rsidR="00532147">
        <w:t xml:space="preserve"> grouped evenly into 10 genres. For each song, there is</w:t>
      </w:r>
      <w:r w:rsidR="002546C5">
        <w:t xml:space="preserve"> </w:t>
      </w:r>
      <w:r w:rsidR="00532147">
        <w:t xml:space="preserve">associated </w:t>
      </w:r>
      <w:r w:rsidR="00F06999">
        <w:t xml:space="preserve">meta-data and a </w:t>
      </w:r>
      <w:r w:rsidR="00532147">
        <w:t>mel-</w:t>
      </w:r>
      <w:r w:rsidR="00C9643B">
        <w:t>spectrogram</w:t>
      </w:r>
      <w:r w:rsidR="00DA647E">
        <w:t>.</w:t>
      </w:r>
      <w:r w:rsidR="000B52A1">
        <w:t xml:space="preserve"> Each instance of meta-data contains auditory characteristics of the recording, such as </w:t>
      </w:r>
      <w:r w:rsidR="00CC178D">
        <w:t>the tempo. The</w:t>
      </w:r>
      <w:r w:rsidR="00DA647E">
        <w:t xml:space="preserve"> mel-spectrogram</w:t>
      </w:r>
      <w:r w:rsidR="008200AC">
        <w:t xml:space="preserve"> is a </w:t>
      </w:r>
      <w:r w:rsidR="00C9643B">
        <w:t xml:space="preserve">way of visualising what frequencies are more intense </w:t>
      </w:r>
      <w:r w:rsidR="00275469">
        <w:t>on the melodic scale at a given time. Two examples are given below: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275469" w14:paraId="3AD34C20" w14:textId="77777777" w:rsidTr="00D522E5">
        <w:trPr>
          <w:trHeight w:val="1998"/>
        </w:trPr>
        <w:tc>
          <w:tcPr>
            <w:tcW w:w="4508" w:type="dxa"/>
          </w:tcPr>
          <w:p w14:paraId="40267F09" w14:textId="0D04E810" w:rsidR="00D522E5" w:rsidRDefault="00D522E5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1" behindDoc="1" locked="0" layoutInCell="1" allowOverlap="1" wp14:anchorId="1047761F" wp14:editId="457D6527">
                  <wp:simplePos x="0" y="0"/>
                  <wp:positionH relativeFrom="column">
                    <wp:posOffset>385445</wp:posOffset>
                  </wp:positionH>
                  <wp:positionV relativeFrom="paragraph">
                    <wp:posOffset>159385</wp:posOffset>
                  </wp:positionV>
                  <wp:extent cx="1955800" cy="1270000"/>
                  <wp:effectExtent l="0" t="0" r="6350" b="6350"/>
                  <wp:wrapTight wrapText="bothSides">
                    <wp:wrapPolygon edited="0">
                      <wp:start x="0" y="0"/>
                      <wp:lineTo x="0" y="21384"/>
                      <wp:lineTo x="21460" y="21384"/>
                      <wp:lineTo x="21460" y="0"/>
                      <wp:lineTo x="0" y="0"/>
                    </wp:wrapPolygon>
                  </wp:wrapTight>
                  <wp:docPr id="1870914646" name="Picture 1870914646" descr="A picture containing text, cur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0914646" name="Picture 1" descr="A picture containing text, curtain&#10;&#10;Description automatically generated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121" t="12121" r="10101" b="12122"/>
                          <a:stretch/>
                        </pic:blipFill>
                        <pic:spPr bwMode="auto">
                          <a:xfrm>
                            <a:off x="0" y="0"/>
                            <a:ext cx="1955800" cy="12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9C58D69" w14:textId="12D1F688" w:rsidR="00275469" w:rsidRDefault="00275469" w:rsidP="00D522E5">
            <w:pPr>
              <w:jc w:val="center"/>
            </w:pPr>
          </w:p>
        </w:tc>
        <w:tc>
          <w:tcPr>
            <w:tcW w:w="4508" w:type="dxa"/>
          </w:tcPr>
          <w:p w14:paraId="67B5CC4F" w14:textId="6C160638" w:rsidR="00D522E5" w:rsidRDefault="00712ACF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045FF52" wp14:editId="414F3ED9">
                  <wp:simplePos x="0" y="0"/>
                  <wp:positionH relativeFrom="column">
                    <wp:posOffset>367665</wp:posOffset>
                  </wp:positionH>
                  <wp:positionV relativeFrom="paragraph">
                    <wp:posOffset>165735</wp:posOffset>
                  </wp:positionV>
                  <wp:extent cx="1949450" cy="1257300"/>
                  <wp:effectExtent l="0" t="0" r="0" b="0"/>
                  <wp:wrapTight wrapText="bothSides">
                    <wp:wrapPolygon edited="0">
                      <wp:start x="0" y="0"/>
                      <wp:lineTo x="0" y="21273"/>
                      <wp:lineTo x="21319" y="21273"/>
                      <wp:lineTo x="21319" y="0"/>
                      <wp:lineTo x="0" y="0"/>
                    </wp:wrapPolygon>
                  </wp:wrapTight>
                  <wp:docPr id="281320349" name="Picture 281320349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1320349" name="Picture 2" descr="A picture containing text&#10;&#10;Description automatically generated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31" t="12878" r="9343" b="12122"/>
                          <a:stretch/>
                        </pic:blipFill>
                        <pic:spPr bwMode="auto">
                          <a:xfrm>
                            <a:off x="0" y="0"/>
                            <a:ext cx="1949450" cy="125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ACECE76" w14:textId="01F3411F" w:rsidR="00275469" w:rsidRDefault="00275469" w:rsidP="00D522E5">
            <w:pPr>
              <w:jc w:val="center"/>
            </w:pPr>
          </w:p>
        </w:tc>
      </w:tr>
      <w:tr w:rsidR="00D522E5" w14:paraId="7ED017F1" w14:textId="77777777" w:rsidTr="00D522E5">
        <w:tc>
          <w:tcPr>
            <w:tcW w:w="4508" w:type="dxa"/>
          </w:tcPr>
          <w:p w14:paraId="749779DE" w14:textId="5133C4D0" w:rsidR="00D522E5" w:rsidRDefault="00D522E5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t>Metal Spectrogram</w:t>
            </w:r>
          </w:p>
        </w:tc>
        <w:tc>
          <w:tcPr>
            <w:tcW w:w="4508" w:type="dxa"/>
          </w:tcPr>
          <w:p w14:paraId="722B3654" w14:textId="590B87DE" w:rsidR="00D522E5" w:rsidRDefault="00D522E5" w:rsidP="00D522E5">
            <w:pPr>
              <w:jc w:val="center"/>
              <w:rPr>
                <w:noProof/>
              </w:rPr>
            </w:pPr>
            <w:r>
              <w:rPr>
                <w:noProof/>
              </w:rPr>
              <w:t>Classical Spectrogram</w:t>
            </w:r>
          </w:p>
        </w:tc>
      </w:tr>
    </w:tbl>
    <w:p w14:paraId="38EF6BD2" w14:textId="77777777" w:rsidR="00611384" w:rsidRDefault="00611384" w:rsidP="00CE2066"/>
    <w:p w14:paraId="3B5B0530" w14:textId="24223C2A" w:rsidR="003A6FDD" w:rsidRDefault="00611384" w:rsidP="00CE2066">
      <w:r>
        <w:t>We observe that th</w:t>
      </w:r>
      <w:r w:rsidR="009A680E">
        <w:t>ere are numerous visual differences between the spectrograms</w:t>
      </w:r>
      <w:r w:rsidR="001373E5">
        <w:t>, f</w:t>
      </w:r>
      <w:r w:rsidR="009A680E">
        <w:t>or example,</w:t>
      </w:r>
      <w:r>
        <w:t xml:space="preserve"> </w:t>
      </w:r>
      <w:r w:rsidR="001373E5">
        <w:t xml:space="preserve">the </w:t>
      </w:r>
      <w:r>
        <w:t>metal spectrogram is significantly busier t</w:t>
      </w:r>
      <w:r w:rsidR="00D1362A">
        <w:t xml:space="preserve">han the classical </w:t>
      </w:r>
      <w:r w:rsidR="00603D9B">
        <w:t>spectrogram</w:t>
      </w:r>
      <w:r w:rsidR="001373E5">
        <w:t>.</w:t>
      </w:r>
      <w:r w:rsidR="00603D9B">
        <w:t xml:space="preserve"> </w:t>
      </w:r>
      <w:r w:rsidR="00E813B4">
        <w:t xml:space="preserve">We plan to learn these differences, along with the meta-data, to classify each song into </w:t>
      </w:r>
      <w:r w:rsidR="00D461E8">
        <w:t>one of the ten</w:t>
      </w:r>
      <w:r w:rsidR="00E813B4">
        <w:t xml:space="preserve"> genre</w:t>
      </w:r>
      <w:r w:rsidR="00D461E8">
        <w:t>s.</w:t>
      </w:r>
    </w:p>
    <w:p w14:paraId="23CC281F" w14:textId="575388B8" w:rsidR="00E50F27" w:rsidRPr="005208D5" w:rsidRDefault="00E50F27" w:rsidP="00E50F27">
      <w:r>
        <w:t xml:space="preserve">To accomplish our goal, we plan to </w:t>
      </w:r>
      <w:r w:rsidR="00CC178D">
        <w:t xml:space="preserve">implement </w:t>
      </w:r>
      <w:r w:rsidR="00484D00">
        <w:t>a variety of CNNs</w:t>
      </w:r>
      <w:r w:rsidR="009D5D6E">
        <w:t xml:space="preserve"> that learn the visual properties of the spectrogram,</w:t>
      </w:r>
      <w:r w:rsidR="00484D00">
        <w:t xml:space="preserve"> </w:t>
      </w:r>
      <w:r w:rsidR="0022388B">
        <w:t>to</w:t>
      </w:r>
      <w:r w:rsidR="009D5D6E">
        <w:t xml:space="preserve"> obtain the greatest test accuracy.</w:t>
      </w:r>
      <w:r w:rsidR="00CC178D">
        <w:t xml:space="preserve"> </w:t>
      </w:r>
      <w:r>
        <w:t>We will then compare th</w:t>
      </w:r>
      <w:r w:rsidR="0022388B">
        <w:t xml:space="preserve">ese </w:t>
      </w:r>
      <w:r>
        <w:t>to MLP model</w:t>
      </w:r>
      <w:r w:rsidR="0022388B">
        <w:t>s</w:t>
      </w:r>
      <w:r>
        <w:t xml:space="preserve"> that take the meta-data as input. </w:t>
      </w:r>
      <w:r w:rsidR="0022388B">
        <w:t xml:space="preserve">Finally, </w:t>
      </w:r>
      <w:r w:rsidR="00EA1D87">
        <w:t xml:space="preserve">we will define an ensemble model that joins the CNN and the MLP, </w:t>
      </w:r>
      <w:r w:rsidR="0001282C">
        <w:t>which will maximise the predictive power we can yield from our data.</w:t>
      </w:r>
    </w:p>
    <w:p w14:paraId="709C5DA8" w14:textId="77777777" w:rsidR="003B301D" w:rsidRDefault="00F53807" w:rsidP="00CE2066">
      <w:r>
        <w:t xml:space="preserve">It is important to note that our dataset </w:t>
      </w:r>
      <w:r w:rsidR="004112DC">
        <w:t>is relatively small, and as such we will take measures to increase the amount of data we can feed into our models</w:t>
      </w:r>
      <w:r w:rsidR="003B301D">
        <w:t>:</w:t>
      </w:r>
    </w:p>
    <w:p w14:paraId="29F8D243" w14:textId="7F6D3B19" w:rsidR="003B301D" w:rsidRDefault="003B301D" w:rsidP="003B301D">
      <w:pPr>
        <w:pStyle w:val="ListParagraph"/>
        <w:numPr>
          <w:ilvl w:val="0"/>
          <w:numId w:val="1"/>
        </w:numPr>
      </w:pPr>
      <w:r>
        <w:t>T</w:t>
      </w:r>
      <w:r w:rsidR="004112DC">
        <w:t xml:space="preserve">he dataset provides </w:t>
      </w:r>
      <w:r w:rsidR="00DA0E4E">
        <w:t>meta-data on each 3 second segment of each 30 second recording</w:t>
      </w:r>
      <w:r w:rsidR="00B66DA2">
        <w:t xml:space="preserve">. This dramatically increases the quantity of data we can </w:t>
      </w:r>
      <w:r w:rsidR="00A60528">
        <w:t xml:space="preserve">feed into our MLP. </w:t>
      </w:r>
    </w:p>
    <w:p w14:paraId="6F29B860" w14:textId="44BD6EC8" w:rsidR="00F53807" w:rsidRDefault="003B301D" w:rsidP="003B301D">
      <w:pPr>
        <w:pStyle w:val="ListParagraph"/>
        <w:numPr>
          <w:ilvl w:val="0"/>
          <w:numId w:val="1"/>
        </w:numPr>
      </w:pPr>
      <w:r>
        <w:t xml:space="preserve">We can split our spectrograms into </w:t>
      </w:r>
      <w:r w:rsidR="00662AFD">
        <w:t>vertical slices. This preserves the</w:t>
      </w:r>
      <w:r w:rsidR="007C4BBE">
        <w:t xml:space="preserve"> frequency axis, which is more important when determining the style of music.</w:t>
      </w:r>
    </w:p>
    <w:p w14:paraId="7902C67D" w14:textId="6DDDF343" w:rsidR="00CC2ABD" w:rsidRDefault="007C4BBE" w:rsidP="00CC2ABD">
      <w:pPr>
        <w:pStyle w:val="ListParagraph"/>
        <w:numPr>
          <w:ilvl w:val="0"/>
          <w:numId w:val="1"/>
        </w:numPr>
      </w:pPr>
      <w:r>
        <w:t>There is also the possibility of adding noise to our spectrogram.</w:t>
      </w:r>
    </w:p>
    <w:p w14:paraId="7AF7B4EB" w14:textId="77777777" w:rsidR="001373E5" w:rsidRDefault="001373E5" w:rsidP="001373E5"/>
    <w:p w14:paraId="3C29257A" w14:textId="1D06B241" w:rsidR="00D461E8" w:rsidRPr="005208D5" w:rsidRDefault="00D461E8" w:rsidP="00CE2066"/>
    <w:sectPr w:rsidR="00D461E8" w:rsidRPr="00520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EE34E3"/>
    <w:multiLevelType w:val="hybridMultilevel"/>
    <w:tmpl w:val="517A0A84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599527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B9"/>
    <w:rsid w:val="0001282C"/>
    <w:rsid w:val="00046FC7"/>
    <w:rsid w:val="000B52A1"/>
    <w:rsid w:val="001373E5"/>
    <w:rsid w:val="001478B9"/>
    <w:rsid w:val="001F1F2F"/>
    <w:rsid w:val="0022388B"/>
    <w:rsid w:val="00230332"/>
    <w:rsid w:val="002546C5"/>
    <w:rsid w:val="00275469"/>
    <w:rsid w:val="0028415A"/>
    <w:rsid w:val="00317DDE"/>
    <w:rsid w:val="003419A1"/>
    <w:rsid w:val="003A6FDD"/>
    <w:rsid w:val="003B301D"/>
    <w:rsid w:val="004112DC"/>
    <w:rsid w:val="004428A2"/>
    <w:rsid w:val="0047038A"/>
    <w:rsid w:val="00484D00"/>
    <w:rsid w:val="004D3D8C"/>
    <w:rsid w:val="004E279E"/>
    <w:rsid w:val="004F40AE"/>
    <w:rsid w:val="005208D5"/>
    <w:rsid w:val="00532147"/>
    <w:rsid w:val="005E3A9D"/>
    <w:rsid w:val="00603D9B"/>
    <w:rsid w:val="00611384"/>
    <w:rsid w:val="00662AFD"/>
    <w:rsid w:val="00690834"/>
    <w:rsid w:val="006C5DE8"/>
    <w:rsid w:val="00712ACF"/>
    <w:rsid w:val="007371F7"/>
    <w:rsid w:val="007742AA"/>
    <w:rsid w:val="007A13F6"/>
    <w:rsid w:val="007C4BBE"/>
    <w:rsid w:val="007F1781"/>
    <w:rsid w:val="008200AC"/>
    <w:rsid w:val="008F2EA9"/>
    <w:rsid w:val="009061BD"/>
    <w:rsid w:val="00924E67"/>
    <w:rsid w:val="009A680E"/>
    <w:rsid w:val="009B160D"/>
    <w:rsid w:val="009D5D6E"/>
    <w:rsid w:val="00A60528"/>
    <w:rsid w:val="00A655A4"/>
    <w:rsid w:val="00B321AE"/>
    <w:rsid w:val="00B62907"/>
    <w:rsid w:val="00B66DA2"/>
    <w:rsid w:val="00BD16FE"/>
    <w:rsid w:val="00C73D74"/>
    <w:rsid w:val="00C9643B"/>
    <w:rsid w:val="00CC178D"/>
    <w:rsid w:val="00CC2ABD"/>
    <w:rsid w:val="00CE2066"/>
    <w:rsid w:val="00D1362A"/>
    <w:rsid w:val="00D461E8"/>
    <w:rsid w:val="00D522E5"/>
    <w:rsid w:val="00DA0E4E"/>
    <w:rsid w:val="00DA647E"/>
    <w:rsid w:val="00E255EB"/>
    <w:rsid w:val="00E50F27"/>
    <w:rsid w:val="00E813B4"/>
    <w:rsid w:val="00EA1D87"/>
    <w:rsid w:val="00F06999"/>
    <w:rsid w:val="00F53807"/>
    <w:rsid w:val="00FF7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046A"/>
  <w15:chartTrackingRefBased/>
  <w15:docId w15:val="{8F1DF9B6-1938-4F38-862C-ED64F8130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61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1B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9061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61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061BD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75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0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datasets/andradaolteanu/gtzan-dataset-music-genre-classification?resource=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Olly Mapps</dc:creator>
  <cp:keywords/>
  <dc:description/>
  <cp:lastModifiedBy>Olly Mapps</cp:lastModifiedBy>
  <cp:revision>65</cp:revision>
  <dcterms:created xsi:type="dcterms:W3CDTF">2023-04-03T11:52:00Z</dcterms:created>
  <dcterms:modified xsi:type="dcterms:W3CDTF">2023-04-03T16:30:00Z</dcterms:modified>
</cp:coreProperties>
</file>