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CD718E" w:rsidRDefault="00000000">
      <w:pPr>
        <w:spacing w:after="0"/>
        <w:jc w:val="center"/>
        <w:rPr>
          <w:b/>
          <w:sz w:val="40"/>
          <w:szCs w:val="40"/>
        </w:rPr>
      </w:pPr>
      <w:r w:rsidRPr="00CD718E">
        <w:rPr>
          <w:b/>
          <w:sz w:val="40"/>
          <w:szCs w:val="40"/>
        </w:rPr>
        <w:t>Project Design Phase</w:t>
      </w:r>
    </w:p>
    <w:p w14:paraId="0E538A2F" w14:textId="4D162003" w:rsidR="00604E29" w:rsidRPr="005737E4" w:rsidRDefault="00000000">
      <w:pPr>
        <w:spacing w:after="0"/>
        <w:jc w:val="center"/>
        <w:rPr>
          <w:b/>
          <w:color w:val="EE0000"/>
          <w:sz w:val="32"/>
          <w:szCs w:val="32"/>
        </w:rPr>
      </w:pPr>
      <w:r w:rsidRPr="005737E4">
        <w:rPr>
          <w:b/>
          <w:color w:val="EE0000"/>
          <w:sz w:val="32"/>
          <w:szCs w:val="32"/>
        </w:rPr>
        <w:t xml:space="preserve">Proposed Solution </w:t>
      </w:r>
    </w:p>
    <w:p w14:paraId="35E8E725" w14:textId="77777777" w:rsidR="00604E29" w:rsidRPr="0058151E" w:rsidRDefault="00604E2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4372B" w14:paraId="259A5833" w14:textId="77777777">
        <w:tc>
          <w:tcPr>
            <w:tcW w:w="4695" w:type="dxa"/>
          </w:tcPr>
          <w:p w14:paraId="42F84784" w14:textId="77777777" w:rsidR="0024372B" w:rsidRDefault="0024372B" w:rsidP="0024372B">
            <w:r>
              <w:t>Date</w:t>
            </w:r>
          </w:p>
        </w:tc>
        <w:tc>
          <w:tcPr>
            <w:tcW w:w="4335" w:type="dxa"/>
          </w:tcPr>
          <w:p w14:paraId="49DC5AF5" w14:textId="100EC437" w:rsidR="0024372B" w:rsidRDefault="0024372B" w:rsidP="0024372B"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24372B" w14:paraId="7A66939B" w14:textId="77777777">
        <w:tc>
          <w:tcPr>
            <w:tcW w:w="4695" w:type="dxa"/>
          </w:tcPr>
          <w:p w14:paraId="2D366549" w14:textId="77777777" w:rsidR="0024372B" w:rsidRDefault="0024372B" w:rsidP="0024372B">
            <w:r>
              <w:t>Team ID</w:t>
            </w:r>
          </w:p>
        </w:tc>
        <w:tc>
          <w:tcPr>
            <w:tcW w:w="4335" w:type="dxa"/>
          </w:tcPr>
          <w:p w14:paraId="1AD8634F" w14:textId="218A1B7E" w:rsidR="0024372B" w:rsidRDefault="0024372B" w:rsidP="0024372B"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24372B" w14:paraId="0E84FB5D" w14:textId="77777777">
        <w:tc>
          <w:tcPr>
            <w:tcW w:w="4695" w:type="dxa"/>
          </w:tcPr>
          <w:p w14:paraId="4C398D34" w14:textId="77777777" w:rsidR="0024372B" w:rsidRDefault="0024372B" w:rsidP="0024372B">
            <w:r>
              <w:t>Project Name</w:t>
            </w:r>
          </w:p>
        </w:tc>
        <w:tc>
          <w:tcPr>
            <w:tcW w:w="4335" w:type="dxa"/>
          </w:tcPr>
          <w:p w14:paraId="56EAF34F" w14:textId="4A4D7C60" w:rsidR="0024372B" w:rsidRDefault="0024372B" w:rsidP="0024372B"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Pr="0024372B" w:rsidRDefault="00604E29">
      <w:pPr>
        <w:rPr>
          <w:b/>
          <w:sz w:val="24"/>
          <w:szCs w:val="24"/>
        </w:rPr>
      </w:pPr>
    </w:p>
    <w:p w14:paraId="2A69CBFE" w14:textId="6A3F475D" w:rsidR="00604E29" w:rsidRPr="0024372B" w:rsidRDefault="00000000">
      <w:pPr>
        <w:rPr>
          <w:b/>
          <w:sz w:val="24"/>
          <w:szCs w:val="24"/>
        </w:rPr>
      </w:pPr>
      <w:r w:rsidRPr="0024372B">
        <w:rPr>
          <w:b/>
          <w:sz w:val="24"/>
          <w:szCs w:val="24"/>
        </w:rPr>
        <w:t>Proposed Solution: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2410"/>
        <w:gridCol w:w="6520"/>
      </w:tblGrid>
      <w:tr w:rsidR="0024372B" w14:paraId="5E7F0275" w14:textId="77777777" w:rsidTr="0024372B">
        <w:tc>
          <w:tcPr>
            <w:tcW w:w="704" w:type="dxa"/>
            <w:vAlign w:val="center"/>
          </w:tcPr>
          <w:p w14:paraId="3D282111" w14:textId="16A34998" w:rsidR="0024372B" w:rsidRDefault="0024372B" w:rsidP="0024372B">
            <w:pPr>
              <w:rPr>
                <w:b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2410" w:type="dxa"/>
            <w:vAlign w:val="center"/>
          </w:tcPr>
          <w:p w14:paraId="4789711A" w14:textId="114B0398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6520" w:type="dxa"/>
            <w:vAlign w:val="center"/>
          </w:tcPr>
          <w:p w14:paraId="7EC4C9CF" w14:textId="05D59A9D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4372B" w14:paraId="504E60F3" w14:textId="77777777" w:rsidTr="0024372B">
        <w:tc>
          <w:tcPr>
            <w:tcW w:w="704" w:type="dxa"/>
            <w:vAlign w:val="center"/>
          </w:tcPr>
          <w:p w14:paraId="498E30DF" w14:textId="6E993BF2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2410" w:type="dxa"/>
            <w:vAlign w:val="center"/>
          </w:tcPr>
          <w:p w14:paraId="6EF5CA34" w14:textId="079D94A0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Problem Statement</w:t>
            </w:r>
          </w:p>
        </w:tc>
        <w:tc>
          <w:tcPr>
            <w:tcW w:w="6520" w:type="dxa"/>
            <w:vAlign w:val="center"/>
          </w:tcPr>
          <w:p w14:paraId="665B1C02" w14:textId="435B6C35" w:rsidR="0024372B" w:rsidRDefault="0024372B" w:rsidP="0024372B">
            <w:pPr>
              <w:rPr>
                <w:b/>
              </w:rPr>
            </w:pPr>
            <w:r>
              <w:t>Inaccessibility of quick and accurate medical insights for non-medical users. Many individuals lack immediate medical guidance for symptoms, resulting in delayed care and complications.</w:t>
            </w:r>
          </w:p>
        </w:tc>
      </w:tr>
      <w:tr w:rsidR="0024372B" w14:paraId="5EBF94EC" w14:textId="77777777" w:rsidTr="0024372B">
        <w:tc>
          <w:tcPr>
            <w:tcW w:w="704" w:type="dxa"/>
            <w:vAlign w:val="center"/>
          </w:tcPr>
          <w:p w14:paraId="69EA3D84" w14:textId="2552FBEE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2410" w:type="dxa"/>
            <w:vAlign w:val="center"/>
          </w:tcPr>
          <w:p w14:paraId="5A46D8BA" w14:textId="7B97A8A8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Idea / Solution Description</w:t>
            </w:r>
          </w:p>
        </w:tc>
        <w:tc>
          <w:tcPr>
            <w:tcW w:w="6520" w:type="dxa"/>
            <w:vAlign w:val="center"/>
          </w:tcPr>
          <w:p w14:paraId="6AF5475C" w14:textId="042E3503" w:rsidR="0024372B" w:rsidRDefault="0024372B" w:rsidP="0024372B">
            <w:pPr>
              <w:rPr>
                <w:b/>
              </w:rPr>
            </w:pPr>
            <w:proofErr w:type="spellStart"/>
            <w:r>
              <w:t>HealthAI</w:t>
            </w:r>
            <w:proofErr w:type="spellEnd"/>
            <w:r>
              <w:t xml:space="preserve"> is a generative AI-based healthcare assistant that allows users to input symptoms in natural language and get intelligent responses including disease predictions, possible treatments, and health tracking. The app is built using </w:t>
            </w:r>
            <w:r>
              <w:rPr>
                <w:rStyle w:val="Strong"/>
              </w:rPr>
              <w:t xml:space="preserve">IBM </w:t>
            </w:r>
            <w:proofErr w:type="spellStart"/>
            <w:r>
              <w:rPr>
                <w:rStyle w:val="Strong"/>
              </w:rPr>
              <w:t>Watsonx</w:t>
            </w:r>
            <w:proofErr w:type="spellEnd"/>
            <w:r>
              <w:t xml:space="preserve">, integrated with a simple UI powered by </w:t>
            </w:r>
            <w:proofErr w:type="spellStart"/>
            <w:r>
              <w:rPr>
                <w:rStyle w:val="Strong"/>
              </w:rPr>
              <w:t>Streamlit</w:t>
            </w:r>
            <w:proofErr w:type="spellEnd"/>
            <w:r>
              <w:t>, and does not require user registration—only profile data for personalization.</w:t>
            </w:r>
          </w:p>
        </w:tc>
      </w:tr>
      <w:tr w:rsidR="0024372B" w14:paraId="115E72BF" w14:textId="77777777" w:rsidTr="0024372B">
        <w:tc>
          <w:tcPr>
            <w:tcW w:w="704" w:type="dxa"/>
            <w:vAlign w:val="center"/>
          </w:tcPr>
          <w:p w14:paraId="76C10F5A" w14:textId="7BB470DA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2410" w:type="dxa"/>
            <w:vAlign w:val="center"/>
          </w:tcPr>
          <w:p w14:paraId="6776E5EE" w14:textId="545A674F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Novelty / Uniqueness</w:t>
            </w:r>
          </w:p>
        </w:tc>
        <w:tc>
          <w:tcPr>
            <w:tcW w:w="6520" w:type="dxa"/>
            <w:vAlign w:val="center"/>
          </w:tcPr>
          <w:p w14:paraId="575FCD93" w14:textId="2B3A3551" w:rsidR="0024372B" w:rsidRDefault="0024372B" w:rsidP="0024372B">
            <w:pPr>
              <w:rPr>
                <w:b/>
              </w:rPr>
            </w:pPr>
            <w:r>
              <w:t xml:space="preserve">Unlike traditional symptom checkers or databases, </w:t>
            </w:r>
            <w:proofErr w:type="spellStart"/>
            <w:r>
              <w:t>HealthAI</w:t>
            </w:r>
            <w:proofErr w:type="spellEnd"/>
            <w:r>
              <w:t xml:space="preserve"> uses powerful generative AI (IBM Granite model) to understand and respond in a human-like, multilingual, and context-aware way. It combines health insights, analytics, and personalization without any data collection or ML training.</w:t>
            </w:r>
          </w:p>
        </w:tc>
      </w:tr>
      <w:tr w:rsidR="0024372B" w14:paraId="72DE06F9" w14:textId="77777777" w:rsidTr="0024372B">
        <w:tc>
          <w:tcPr>
            <w:tcW w:w="704" w:type="dxa"/>
            <w:vAlign w:val="center"/>
          </w:tcPr>
          <w:p w14:paraId="6F64C3E7" w14:textId="731C2250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2410" w:type="dxa"/>
            <w:vAlign w:val="center"/>
          </w:tcPr>
          <w:p w14:paraId="07BC6FCE" w14:textId="195D589E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Social Impact / Customer Satisfaction</w:t>
            </w:r>
          </w:p>
        </w:tc>
        <w:tc>
          <w:tcPr>
            <w:tcW w:w="6520" w:type="dxa"/>
            <w:vAlign w:val="center"/>
          </w:tcPr>
          <w:p w14:paraId="6319E11D" w14:textId="2D1D5B20" w:rsidR="0024372B" w:rsidRDefault="0024372B" w:rsidP="0024372B">
            <w:pPr>
              <w:rPr>
                <w:b/>
              </w:rPr>
            </w:pPr>
            <w:r>
              <w:t>It empowers users in rural and urban areas to make informed health decisions. It reduces dependence on in-person consultations for minor concerns and serves as a first-step assistant for everyone, especially in low-resource or emergency situations.</w:t>
            </w:r>
          </w:p>
        </w:tc>
      </w:tr>
      <w:tr w:rsidR="0024372B" w14:paraId="6503C732" w14:textId="77777777" w:rsidTr="0024372B">
        <w:tc>
          <w:tcPr>
            <w:tcW w:w="704" w:type="dxa"/>
            <w:vAlign w:val="center"/>
          </w:tcPr>
          <w:p w14:paraId="4ABE7ECF" w14:textId="5A3D972A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2410" w:type="dxa"/>
            <w:vAlign w:val="center"/>
          </w:tcPr>
          <w:p w14:paraId="0913AAE3" w14:textId="07DD1D79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Business Model (Revenue Model)</w:t>
            </w:r>
          </w:p>
        </w:tc>
        <w:tc>
          <w:tcPr>
            <w:tcW w:w="6520" w:type="dxa"/>
            <w:vAlign w:val="center"/>
          </w:tcPr>
          <w:p w14:paraId="528F7837" w14:textId="48C05E0F" w:rsidR="0024372B" w:rsidRDefault="0024372B" w:rsidP="0024372B">
            <w:pPr>
              <w:rPr>
                <w:b/>
              </w:rPr>
            </w:pPr>
            <w:r>
              <w:t>Freemium model: Basic diagnosis is free. Premium features (voice input, doctor consultation integration, multilingual offline access, health PDF reports) can be part of a paid plan. Potential B2B licensing to clinics and hospitals for integration.</w:t>
            </w:r>
          </w:p>
        </w:tc>
      </w:tr>
      <w:tr w:rsidR="0024372B" w14:paraId="3B5AD245" w14:textId="77777777" w:rsidTr="0024372B">
        <w:tc>
          <w:tcPr>
            <w:tcW w:w="704" w:type="dxa"/>
            <w:vAlign w:val="center"/>
          </w:tcPr>
          <w:p w14:paraId="5CFDB49C" w14:textId="16E53AA5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2410" w:type="dxa"/>
            <w:vAlign w:val="center"/>
          </w:tcPr>
          <w:p w14:paraId="0C06B0A6" w14:textId="73079392" w:rsidR="0024372B" w:rsidRDefault="0024372B" w:rsidP="0024372B">
            <w:pPr>
              <w:rPr>
                <w:b/>
              </w:rPr>
            </w:pPr>
            <w:r>
              <w:rPr>
                <w:rStyle w:val="Strong"/>
              </w:rPr>
              <w:t>Scalability of the Solution</w:t>
            </w:r>
          </w:p>
        </w:tc>
        <w:tc>
          <w:tcPr>
            <w:tcW w:w="6520" w:type="dxa"/>
            <w:vAlign w:val="center"/>
          </w:tcPr>
          <w:p w14:paraId="77B379F6" w14:textId="04B53AC2" w:rsidR="0024372B" w:rsidRDefault="0024372B" w:rsidP="0024372B">
            <w:pPr>
              <w:rPr>
                <w:b/>
              </w:rPr>
            </w:pPr>
            <w:proofErr w:type="spellStart"/>
            <w:r>
              <w:t>HealthAI</w:t>
            </w:r>
            <w:proofErr w:type="spellEnd"/>
            <w:r>
              <w:t xml:space="preserve"> is built on cloud infrastructure using IBM </w:t>
            </w:r>
            <w:proofErr w:type="spellStart"/>
            <w:r>
              <w:t>Watsonx</w:t>
            </w:r>
            <w:proofErr w:type="spellEnd"/>
            <w:r>
              <w:t xml:space="preserve"> and </w:t>
            </w:r>
            <w:proofErr w:type="spellStart"/>
            <w:r>
              <w:t>Streamlit</w:t>
            </w:r>
            <w:proofErr w:type="spellEnd"/>
            <w:r>
              <w:t>, which allows easy deployment across regions. It is modular, so new features like wearable integration, doctor video calls, or insurance APIs can be added seamlessly.</w:t>
            </w:r>
          </w:p>
        </w:tc>
      </w:tr>
    </w:tbl>
    <w:p w14:paraId="2A4025E9" w14:textId="77777777" w:rsidR="0024372B" w:rsidRDefault="0024372B">
      <w:pPr>
        <w:rPr>
          <w:b/>
        </w:rPr>
      </w:pPr>
    </w:p>
    <w:p w14:paraId="2BA54601" w14:textId="77777777" w:rsidR="0024372B" w:rsidRDefault="0024372B">
      <w:pPr>
        <w:rPr>
          <w:b/>
        </w:rPr>
      </w:pPr>
    </w:p>
    <w:p w14:paraId="37C39CAD" w14:textId="18A1BCDD" w:rsidR="00604E29" w:rsidRDefault="00604E29"/>
    <w:p w14:paraId="5BC2B474" w14:textId="1A396C33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4372B"/>
    <w:rsid w:val="00350B1D"/>
    <w:rsid w:val="00386F7F"/>
    <w:rsid w:val="005737E4"/>
    <w:rsid w:val="0058151E"/>
    <w:rsid w:val="00604E29"/>
    <w:rsid w:val="00C27B72"/>
    <w:rsid w:val="00CD718E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43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8</cp:revision>
  <dcterms:created xsi:type="dcterms:W3CDTF">2022-09-18T16:51:00Z</dcterms:created>
  <dcterms:modified xsi:type="dcterms:W3CDTF">2025-06-28T07:32:00Z</dcterms:modified>
</cp:coreProperties>
</file>