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tiff" ContentType="image/tiff"/>
  <Override PartName="/word/media/rId50.png" ContentType="image/png"/>
  <Override PartName="/word/media/rId46.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21,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 Amsterdam Centre for Ancient Studies and Archaeology, Turfdraagsterpad 9, 1012 XT Amsterdam, The Netherlands</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w:t>
      </w:r>
      <w:r>
        <w:t xml:space="preserve">, significant progress has been made in the archaeology community regarding data repositories and availability of and access to data, with a strong focus on data re-use</w:t>
      </w:r>
      <w:r>
        <w:t xml:space="preserve"> </w:t>
      </w:r>
      <w:r>
        <w:t xml:space="preserve">(Faniel et al. 2013; Sheehan 2015; Kansa 2015; Huggett 2018; Moody et al. 2021; Densmore 2022; Kansa and Kansa 2022)</w:t>
      </w:r>
      <w:r>
        <w:t xml:space="preserve">.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w:t>
      </w:r>
      <w:r>
        <w:t xml:space="preserve"> </w:t>
      </w:r>
      <w:r>
        <w:t xml:space="preserve">(Richards 2009; Austin et al. 2024, pp. 192–193)</w:t>
      </w:r>
      <w:r>
        <w:t xml:space="preserve">, prompted in no small part by Linked Open Data initiatives</w:t>
      </w:r>
      <w:r>
        <w:t xml:space="preserve"> </w:t>
      </w:r>
      <w:r>
        <w:t xml:space="preserve">(May et al. 2015; Nicholson et al. 2023)</w:t>
      </w:r>
      <w:r>
        <w:t xml:space="preserve">. Open Access data sharing through digital repositories has also lead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the same or comparable analytical methods are generally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w:t>
      </w:r>
      <w:r>
        <w:t xml:space="preserve"> </w:t>
      </w:r>
      <w:r>
        <w:t xml:space="preserve">(Barba 2018; Matarese 2022, p. 650)</w:t>
      </w:r>
      <w:r>
        <w:t xml:space="preserve">.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w:t>
      </w:r>
      <w:r>
        <w:t xml:space="preserve"> </w:t>
      </w:r>
      <w:r>
        <w:t xml:space="preserve">Matarese (2022)</w:t>
      </w:r>
      <w:r>
        <w:t xml:space="preserve">, which combines two aspects of replicability: the availability of information necessary to reproduce a study and the passing of a replication test, in which a copy of the original study arrives at the same conclusion</w:t>
      </w:r>
      <w:r>
        <w:t xml:space="preserve"> </w:t>
      </w:r>
      <w:r>
        <w:t xml:space="preserve">(Matarese 2022, p. 651)</w:t>
      </w:r>
      <w:r>
        <w:t xml:space="preserve">. Within this taxonomy, Matarese defines the baseline for method reproducibility as full disclosure of the “details of the experiment’s or study’s procedure”</w:t>
      </w:r>
      <w:r>
        <w:t xml:space="preserve"> </w:t>
      </w:r>
      <w:r>
        <w:t xml:space="preserve">(Matarese 2022, p. 651)</w:t>
      </w:r>
      <w:r>
        <w:t xml:space="preserve">, while result reproducibility applies to any works where “the very same outcome is obtained by following the same procedure as closely as possible”</w:t>
      </w:r>
      <w:r>
        <w:t xml:space="preserve"> </w:t>
      </w:r>
      <w:r>
        <w:t xml:space="preserve">(Matarese 2022, p. 651)</w:t>
      </w:r>
      <w:r>
        <w:t xml:space="preserve">.</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 (CRMs)</w:t>
      </w:r>
      <w:r>
        <w:t xml:space="preserve"> </w:t>
      </w:r>
      <w:r>
        <w:t xml:space="preserve">(Hancock and Carter 2010; Heginbotham and Solé 2017; Heginbotham et al. 2019; Lin et al. 2023)</w:t>
      </w:r>
      <w:r>
        <w:t xml:space="preserve"> </w:t>
      </w:r>
      <w:r>
        <w:t xml:space="preserve">or to showcase repeated analyses by different laboratories to illustrate the reliability and consistency of a particular methodology</w:t>
      </w:r>
      <w:r>
        <w:t xml:space="preserve"> </w:t>
      </w:r>
      <w:r>
        <w:t xml:space="preserve">(Calvo-Rathert et al. 2019)</w:t>
      </w:r>
      <w:r>
        <w:t xml:space="preserve">. Other archaeometric studies use the term reproducibility to reflect internal repeatability or accuracy of results</w:t>
      </w:r>
      <w:r>
        <w:t xml:space="preserve"> </w:t>
      </w:r>
      <w:r>
        <w:t xml:space="preserve">(Ma et al. 2011; Bayliss and Marshall 2019)</w:t>
      </w:r>
      <w:r>
        <w:t xml:space="preserve">, to test the accuracy of particular analytical methods through other methods</w:t>
      </w:r>
      <w:r>
        <w:t xml:space="preserve"> </w:t>
      </w:r>
      <w:r>
        <w:t xml:space="preserve">(Kim et al. 2023)</w:t>
      </w:r>
      <w:r>
        <w:t xml:space="preserve"> </w:t>
      </w:r>
      <w:r>
        <w:t xml:space="preserve">or to argue for external reproducibility through the use of CRMs</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w:t>
      </w:r>
      <w:r>
        <w:t xml:space="preserve"> </w:t>
      </w:r>
      <w:r>
        <w:t xml:space="preserve">(Baxter 1994; Shadmehr and Mostafaei 2016; Crema 2025)</w:t>
      </w:r>
      <w:r>
        <w:t xml:space="preserve">,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w:t>
      </w:r>
      <w:r>
        <w:t xml:space="preserve"> </w:t>
      </w:r>
      <w:r>
        <w:t xml:space="preserve">(Marwick et al. 2018; Nüst et al. 2020; Marwick 2025)</w:t>
      </w:r>
      <w:r>
        <w:t xml:space="preserve">. Computational reproducibility then also facilitates what some have dubbed empirical reproducibility: the transferability of code to new data and to other domains for achieving similar results [cf.</w:t>
      </w:r>
      <w:r>
        <w:t xml:space="preserve"> </w:t>
      </w:r>
      <w:r>
        <w:t xml:space="preserve">Bilotti et al. (2024)</w:t>
      </w:r>
      <w:r>
        <w:t xml:space="preserve">, 2;</w:t>
      </w:r>
      <w:r>
        <w:t xml:space="preserve"> </w:t>
      </w:r>
      <w:r>
        <w:t xml:space="preserve">Marwick (2017a)</w:t>
      </w:r>
      <w:r>
        <w:t xml:space="preserve">;</w:t>
      </w:r>
      <w:r>
        <w:t xml:space="preserve"> </w:t>
      </w:r>
      <w:r>
        <w:t xml:space="preserve">Marwick et al. (2018)</w:t>
      </w:r>
      <w:r>
        <w:t xml:space="preserve">).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w:t>
      </w:r>
      <w:r>
        <w:t xml:space="preserve"> </w:t>
      </w:r>
      <w:r>
        <w:t xml:space="preserve">(Begley and Ioannidis 2015; Gilmore et al. 2017; Mulugeta et al. 2018; Miłkowski et al. 2018; Kong et al. 2019; Brito et al. 2020; McIntosh and Chambers 2020; Kępińska et al. 2024; Samuel and Mietchen 2024; Ekhtiari et al. 2025; Roth et al. 2025; Masson-Trottier et al. 2025)</w:t>
      </w:r>
      <w:r>
        <w:t xml:space="preserve">, and in the social sciences, economics, and management studies</w:t>
      </w:r>
      <w:r>
        <w:t xml:space="preserve"> </w:t>
      </w:r>
      <w:r>
        <w:t xml:space="preserve">(Camerer et al. 2016; Faniel et al. 2016; Curty 2016; Aguinis et al. 2017;</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programming/scripting languages, logical folder structures and documentation of code. Although Marwick’s proposed project containerisation recommendations</w:t>
      </w:r>
      <w:r>
        <w:t xml:space="preserve"> </w:t>
      </w:r>
      <w:r>
        <w:t xml:space="preserve">(see also Marwick 2017b; Marwick and Jacobs 2017; Marwick et al. 2018; Marwick and Birch 2018)</w:t>
      </w:r>
      <w:r>
        <w:t xml:space="preserve"> </w:t>
      </w:r>
      <w:r>
        <w:t xml:space="preserve">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w:t>
      </w:r>
      <w:r>
        <w:t xml:space="preserve"> </w:t>
      </w:r>
      <w:r>
        <w:t xml:space="preserve">(Samuel and Mietchen 2024)</w:t>
      </w:r>
      <w:r>
        <w:t xml:space="preserve">,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w:t>
      </w:r>
      <w:r>
        <w:t xml:space="preserve"> </w:t>
      </w:r>
      <w:r>
        <w:t xml:space="preserve">(e.g., workflowr: Blischak et al. 2018)</w:t>
      </w:r>
      <w:r>
        <w:t xml:space="preserve">.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one-size-fits-all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 (cf. ###).</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loss of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 to 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is not provided for all analytical methods, or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 while additional calculations are necessary for data in wt%. Alloy phase diagrams are available for either unit, and letting the re-user decide which one to use cannot be considered as reproducible. Following</w:t>
      </w:r>
      <w:r>
        <w:t xml:space="preserve"> </w:t>
      </w:r>
      <w:r>
        <w:t xml:space="preserve">Roberts et al. (2018)</w:t>
      </w:r>
      <w:r>
        <w:t xml:space="preserve">, for isotope data, δ-values should be reported relative to current international measurement standards and this standard named.</w:t>
      </w:r>
    </w:p>
    <w:p>
      <w:pPr>
        <w:pStyle w:val="Textkrper"/>
      </w:pPr>
      <w:r>
        <w:t xml:space="preserve">No scores of 0 were awarded as most information is usually present and missing information could generally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the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 ”below detection limit”.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normlisation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graphs of similar type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w:t>
      </w:r>
      <w:r>
        <w:t xml:space="preserve"> </w:t>
      </w:r>
      <w:r>
        <w:t xml:space="preserve">(see Marwick 2025)</w:t>
      </w:r>
      <w:r>
        <w:t xml:space="preserve"> </w:t>
      </w:r>
      <w:r>
        <w:t xml:space="preserve">and to track the increasing use of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reasons for exclusion are listed in the digital compendium: ###).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 (###).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an arbitrary unique identifier. Except for the latter, all identifying information was removed before publication of the final dataset.</w:t>
      </w:r>
    </w:p>
    <w:bookmarkEnd w:id="41"/>
    <w:bookmarkEnd w:id="42"/>
    <w:bookmarkStart w:id="82" w:name="results"/>
    <w:p>
      <w:pPr>
        <w:pStyle w:val="berschrift1"/>
      </w:pPr>
      <w:r>
        <w:t xml:space="preserve">Results</w:t>
      </w:r>
    </w:p>
    <w:bookmarkStart w:id="44"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are, in no particular order: XRD, hh/p-XRF, ED-XRF, WD-XRF, µ-XRF, PIXE(-XRF), SEM-EDS/EDX, (p)FIB, XPS, ICP-MS, ICP-QMS, SC-ICP-MS, LA-ICP-MS, MC-ICP-MS, HR-ICP-MS, TIMS, AFM, INAA, PGAA, ICP-OES, ICP-AES, MP-AES and FAAS. The majority of articles that were surveyed employed more than one technique, with many studies combining some level of invasive sampling with non-invasive survey techniques or combining compositional analysis of the bulk metal with isotope analysis.</w:t>
      </w:r>
    </w:p>
    <w:bookmarkEnd w:id="44"/>
    <w:bookmarkStart w:id="81" w:name="reproducibility-index-scores"/>
    <w:p>
      <w:pPr>
        <w:pStyle w:val="berschrift2"/>
      </w:pPr>
      <w:r>
        <w:t xml:space="preserve">Reproducibility index: scores</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2</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 No single publication scored a two across the board. Mean scores per article range between 0.91 and 1.92, with scores around 1.52 being the most common (</w:t>
      </w:r>
      <w:hyperlink w:anchor="fig-histogram">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summary-stats"/>
          <w:p>
            <w:pPr>
              <w:jc w:val="center"/>
            </w:pPr>
            <w:pPr>
              <w:jc w:val="left"/>
              <w:spacing w:before="200"/>
              <w:pStyle w:val="ImageCaption"/>
            </w:pPr>
            <w:r>
              <w:t xml:space="preserve">Table 2: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5"/>
          <w:p/>
        </w:tc>
      </w:tr>
    </w:tbl>
    <w:tbl>
      <w:tblPr>
        <w:tblStyle w:val="Table"/>
        <w:tblW w:type="pct" w:w="5000"/>
        <w:tblLayout w:type="fixed"/>
        <w:tblLook w:firstRow="0" w:lastRow="0" w:firstColumn="0" w:lastColumn="0" w:noHBand="0" w:noVBand="0" w:val="0000"/>
      </w:tblPr>
      <w:tblGrid>
        <w:gridCol w:w="7920"/>
      </w:tblGrid>
      <w:tr>
        <w:tc>
          <w:tcPr/>
          <w:bookmarkStart w:id="49" w:name="fig-histogram"/>
          <w:p>
            <w:pPr>
              <w:pStyle w:val="Compact"/>
              <w:jc w:val="center"/>
            </w:pPr>
            <w:r>
              <w:drawing>
                <wp:inline>
                  <wp:extent cx="3203069" cy="2745487"/>
                  <wp:effectExtent b="0" l="0" r="0" t="0"/>
                  <wp:docPr descr="" title="" id="47" name="Picture"/>
                  <a:graphic>
                    <a:graphicData uri="http://schemas.openxmlformats.org/drawingml/2006/picture">
                      <pic:pic>
                        <pic:nvPicPr>
                          <pic:cNvPr descr="paper_files/figure-docx/fig-histogram-1.png" id="48" name="Picture"/>
                          <pic:cNvPicPr>
                            <a:picLocks noChangeArrowheads="1" noChangeAspect="1"/>
                          </pic:cNvPicPr>
                        </pic:nvPicPr>
                        <pic:blipFill>
                          <a:blip r:embed="rId46"/>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Histogram showing the distribution of the mean score per article.</w:t>
            </w:r>
          </w:p>
          <w:bookmarkEnd w:id="49"/>
        </w:tc>
      </w:tr>
    </w:tbl>
    <w:p>
      <w:pPr>
        <w:pStyle w:val="Textkrper"/>
      </w:pPr>
      <w:r>
        <w:t xml:space="preserve">The scores for each of the 12 stages for each article are visualised as bar chart (</w:t>
      </w:r>
      <w:hyperlink w:anchor="fig-bar-plot">
        <w:r>
          <w:rPr>
            <w:rStyle w:val="Hyperlink"/>
          </w:rPr>
          <w:t xml:space="preserve">Figure 2</w:t>
        </w:r>
      </w:hyperlink>
      <w:r>
        <w:t xml:space="preserve">) and the Sankey flow chart in the compendium (###) highlights changes of scores between stages. As both the bar chart (</w:t>
      </w:r>
      <w:hyperlink w:anchor="fig-bar-plot">
        <w:r>
          <w:rPr>
            <w:rStyle w:val="Hyperlink"/>
          </w:rPr>
          <w:t xml:space="preserve">Figure 2</w:t>
        </w:r>
      </w:hyperlink>
      <w:r>
        <w:t xml:space="preserve">) and Sankey flow chart clearly show, the sample of publications performed better at some stages than at others. The lowest scoring stages (mean 1.5 or lower) fall into two categories: documentation and replicability of the analytical protocol (stages 0, 1, 4, 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53" w:name="fig-bar-plot"/>
          <w:p>
            <w:pPr>
              <w:pStyle w:val="Compact"/>
              <w:jc w:val="center"/>
            </w:pPr>
            <w:r>
              <w:drawing>
                <wp:inline>
                  <wp:extent cx="3203069" cy="2745487"/>
                  <wp:effectExtent b="0" l="0" r="0" t="0"/>
                  <wp:docPr descr="" title="" id="51" name="Picture"/>
                  <a:graphic>
                    <a:graphicData uri="http://schemas.openxmlformats.org/drawingml/2006/picture">
                      <pic:pic>
                        <pic:nvPicPr>
                          <pic:cNvPr descr="paper_files/figure-docx/fig-bar-plot-1.png" id="52" name="Picture"/>
                          <pic:cNvPicPr>
                            <a:picLocks noChangeArrowheads="1" noChangeAspect="1"/>
                          </pic:cNvPicPr>
                        </pic:nvPicPr>
                        <pic:blipFill>
                          <a:blip r:embed="rId50"/>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Bar chart with the scoring of the surveyed literature per stage. Because 100 articles were surveyed, the percentage equals the number of articles.</w:t>
            </w:r>
          </w:p>
          <w:bookmarkEnd w:id="53"/>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8"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(Stage 2), making their complete underlying dataset available either in table form in their article or as a supplementary file online. Only four articles scored a 0 on data availability. In all these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4"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(which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4"/>
    <w:bookmarkStart w:id="55"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5"/>
    <w:bookmarkStart w:id="56"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was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this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6"/>
    <w:bookmarkStart w:id="57"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 are used), all score 1. Cases where visualisations used comparative data without any indication scored 0.</w:t>
      </w:r>
    </w:p>
    <w:bookmarkEnd w:id="57"/>
    <w:bookmarkEnd w:id="58"/>
    <w:bookmarkStart w:id="62" w:name="phase-2-data-quality-stages-4-6"/>
    <w:p>
      <w:pPr>
        <w:pStyle w:val="berschrift3"/>
      </w:pPr>
      <w:r>
        <w:t xml:space="preserve">Phase 2: Data quality (stages 4-6)</w:t>
      </w:r>
    </w:p>
    <w:bookmarkStart w:id="59"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backgrounds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59"/>
    <w:bookmarkStart w:id="60"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44 surveyed articles with a score of 1, indicating that only some information was provided. Usually, this score reflects that a variety of techniques is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60"/>
    <w:bookmarkStart w:id="61"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61"/>
    <w:bookmarkEnd w:id="62"/>
    <w:bookmarkStart w:id="66" w:name="X498c205e5227057cdac2fe921759cfa497f67ad"/>
    <w:p>
      <w:pPr>
        <w:pStyle w:val="berschrift3"/>
      </w:pPr>
      <w:r>
        <w:t xml:space="preserve">Phase 3: Data description and consistency (stages 7-9).</w:t>
      </w:r>
    </w:p>
    <w:bookmarkStart w:id="63"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data in some cases. No score of 0 was given.</w:t>
      </w:r>
    </w:p>
    <w:bookmarkEnd w:id="63"/>
    <w:bookmarkStart w:id="64"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4"/>
    <w:bookmarkStart w:id="65"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5"/>
    <w:bookmarkEnd w:id="66"/>
    <w:bookmarkStart w:id="80"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7"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in R for PCA); all of which needs to be clarified in writing. In more than half of the articles, this was documented fully, with the most common hurdle being data curation and transformation: handling of outliers, missing values, zeroes, or values below the detection limit. This type of information may not have been included because it is deemed self-explanatory or irrelevant, and in some cases it may be reconstructed through trial and error. However, the friction this causes for the reproducer was significant, and in some cases it makes reproducing the results entirely impossible.</w:t>
      </w:r>
    </w:p>
    <w:bookmarkEnd w:id="67"/>
    <w:bookmarkStart w:id="68"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(Shadmehr and Mostafaei 2016; Baxter 1994).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8"/>
    <w:bookmarkStart w:id="79"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73"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detection limit (commonly indicated non-numerically as “&lt;LOD” or “bdl”) were handled. In the cases where no such values are present, the parameters for the following steps in data transformation were often not reported. Very few publications using multi-variate statistics openly discuss scaling of data prior to analysis, for example.</w:t>
      </w:r>
    </w:p>
    <w:p>
      <w:pPr>
        <w:pStyle w:val="Textkrper"/>
      </w:pPr>
      <w:r>
        <w:t xml:space="preserve">Here, we wish to illustrate this for the use of PCA in compositional studies. As only the end product, the biplot, is typically published, that is what our reproduction effort has focused on, working on the assumption that a matching plot equals a matching computational analysis. Our chosen case provided both the data (which did not contain missing or zero values) and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72" w:name="fig-reprod-PCA"/>
          <w:p>
            <w:pPr>
              <w:pStyle w:val="Compact"/>
              <w:jc w:val="center"/>
            </w:pPr>
            <w:r>
              <w:drawing>
                <wp:inline>
                  <wp:extent cx="5943600" cy="4556773"/>
                  <wp:effectExtent b="0" l="0" r="0" t="0"/>
                  <wp:docPr descr="" title="" id="70" name="Picture"/>
                  <a:graphic>
                    <a:graphicData uri="http://schemas.openxmlformats.org/drawingml/2006/picture">
                      <pic:pic>
                        <pic:nvPicPr>
                          <pic:cNvPr descr="../figures/fig_repro_PCA.tif" id="71" name="Picture"/>
                          <pic:cNvPicPr>
                            <a:picLocks noChangeArrowheads="1" noChangeAspect="1"/>
                          </pic:cNvPicPr>
                        </pic:nvPicPr>
                        <pic:blipFill>
                          <a:blip r:embed="rId69"/>
                          <a:stretch>
                            <a:fillRect/>
                          </a:stretch>
                        </pic:blipFill>
                        <pic:spPr bwMode="auto">
                          <a:xfrm>
                            <a:off x="0" y="0"/>
                            <a:ext cx="5943600" cy="455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72"/>
        </w:tc>
      </w:tr>
    </w:tbl>
    <w:p>
      <w:pPr>
        <w:pStyle w:val="Textkrper"/>
      </w:pPr>
      <w:r>
        <w:t xml:space="preserve">Publication 44 in our dataset performed, according to the image caption, a PCA analysis on CLR-transformed data for 13 trace elements (</w:t>
      </w:r>
      <w:hyperlink w:anchor="fig-reprod-PCA">
        <w:r>
          <w:rPr>
            <w:rStyle w:val="Hyperlink"/>
          </w:rPr>
          <w:t xml:space="preserve">Figure 3</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 (full code in the compendium: ###).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the two most commonly used R functions for PCA:</w:t>
      </w:r>
      <w:r>
        <w:t xml:space="preserve"> </w:t>
      </w:r>
      <w:r>
        <w:rPr>
          <w:i/>
          <w:iCs/>
        </w:rPr>
        <w:t xml:space="preserve">prcomp()</w:t>
      </w:r>
      <w:r>
        <w:t xml:space="preserve"> </w:t>
      </w:r>
      <w:r>
        <w:t xml:space="preserve">and</w:t>
      </w:r>
      <w:r>
        <w:t xml:space="preserve"> </w:t>
      </w:r>
      <w:r>
        <w:rPr>
          <w:i/>
          <w:iCs/>
        </w:rPr>
        <w:t xml:space="preserve">princomp()</w:t>
      </w:r>
      <w:r>
        <w:t xml:space="preserve">. Because it is not specified in the original publication, the PCA was calculated for both the covariance and the correlation matrix, and both were run with centered and uncentered data.</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3</w:t>
        </w:r>
      </w:hyperlink>
      <w:r>
        <w:t xml:space="preserve"> </w:t>
      </w:r>
      <w:r>
        <w:t xml:space="preserve">b,c):</w:t>
      </w:r>
    </w:p>
    <w:p>
      <w:pPr>
        <w:pStyle w:val="Compact"/>
        <w:numPr>
          <w:ilvl w:val="0"/>
          <w:numId w:val="1014"/>
        </w:numPr>
      </w:pPr>
      <w:r>
        <w:t xml:space="preserve">scaled data, centered (correlation)</w:t>
      </w:r>
    </w:p>
    <w:p>
      <w:pPr>
        <w:pStyle w:val="Compact"/>
        <w:numPr>
          <w:ilvl w:val="0"/>
          <w:numId w:val="1014"/>
        </w:numPr>
      </w:pPr>
      <w:r>
        <w:t xml:space="preserve">unscaled data, centered (covariance)</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3</w:t>
        </w:r>
      </w:hyperlink>
      <w:r>
        <w:t xml:space="preserve"> </w:t>
      </w:r>
      <w:r>
        <w:t xml:space="preserve">d–g):</w:t>
      </w:r>
    </w:p>
    <w:p>
      <w:pPr>
        <w:pStyle w:val="Compact"/>
        <w:numPr>
          <w:ilvl w:val="0"/>
          <w:numId w:val="1015"/>
        </w:numPr>
      </w:pPr>
      <w:r>
        <w:t xml:space="preserve">scaled data, centered (correlation)</w:t>
      </w:r>
    </w:p>
    <w:p>
      <w:pPr>
        <w:pStyle w:val="Compact"/>
        <w:numPr>
          <w:ilvl w:val="0"/>
          <w:numId w:val="1015"/>
        </w:numPr>
      </w:pPr>
      <w:r>
        <w:t xml:space="preserve">unscaled data, centered (covariance)</w:t>
      </w:r>
    </w:p>
    <w:p>
      <w:pPr>
        <w:pStyle w:val="Compact"/>
        <w:numPr>
          <w:ilvl w:val="0"/>
          <w:numId w:val="1015"/>
        </w:numPr>
      </w:pPr>
      <w:r>
        <w:t xml:space="preserve">scaled data, but uncentered (correlation)</w:t>
      </w:r>
    </w:p>
    <w:p>
      <w:pPr>
        <w:pStyle w:val="Compact"/>
        <w:numPr>
          <w:ilvl w:val="0"/>
          <w:numId w:val="1015"/>
        </w:numPr>
      </w:pPr>
      <w:r>
        <w:t xml:space="preserve">unscaled data, uncentered (covariance)</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in the original graph. The correlation calculations on centered data were the closest mathematical matches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w:t>
      </w:r>
      <w:r>
        <w:t xml:space="preserve"> </w:t>
      </w:r>
      <w:r>
        <w:t xml:space="preserve">(Stodolová et al. 2025; Erb-Satullo and Klymchuk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w:t>
      </w:r>
      <w:r>
        <w:t xml:space="preserve"> </w:t>
      </w:r>
      <w:r>
        <w:t xml:space="preserve">(Lachenal et al. 2026)</w:t>
      </w:r>
      <w:r>
        <w:t xml:space="preserve"> </w:t>
      </w:r>
      <w:r>
        <w:t xml:space="preserve">included full variance tables and eigenvalues for their PCA work in their supplement, enabling very straightforward reproduction of the original graphs. The calculation of these values was also possible with minor experimentation.</w:t>
      </w:r>
    </w:p>
    <w:bookmarkEnd w:id="73"/>
    <w:bookmarkStart w:id="78"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4</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7" w:name="fig-reprod-scatter"/>
          <w:p>
            <w:pPr>
              <w:pStyle w:val="Compact"/>
              <w:jc w:val="center"/>
            </w:pPr>
            <w:r>
              <w:drawing>
                <wp:inline>
                  <wp:extent cx="5943600" cy="1762932"/>
                  <wp:effectExtent b="0" l="0" r="0" t="0"/>
                  <wp:docPr descr="" title="" id="75" name="Picture"/>
                  <a:graphic>
                    <a:graphicData uri="http://schemas.openxmlformats.org/drawingml/2006/picture">
                      <pic:pic>
                        <pic:nvPicPr>
                          <pic:cNvPr descr="paper_files/figure-docx/fig-reprod-scatter-1.png" id="76" name="Picture"/>
                          <pic:cNvPicPr>
                            <a:picLocks noChangeArrowheads="1" noChangeAspect="1"/>
                          </pic:cNvPicPr>
                        </pic:nvPicPr>
                        <pic:blipFill>
                          <a:blip r:embed="rId74"/>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only one is included here because identical problems were encountered for both.</w:t>
            </w:r>
          </w:p>
          <w:bookmarkEnd w:id="77"/>
        </w:tc>
      </w:tr>
    </w:tbl>
    <w:bookmarkEnd w:id="78"/>
    <w:bookmarkEnd w:id="79"/>
    <w:bookmarkEnd w:id="80"/>
    <w:bookmarkEnd w:id="81"/>
    <w:bookmarkEnd w:id="82"/>
    <w:bookmarkStart w:id="91"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2</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4"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p>
    <w:p>
      <w:pPr>
        <w:pStyle w:val="Textkrper"/>
      </w:pP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83">
        <w:r>
          <w:rPr>
            <w:rStyle w:val="Hyperlink"/>
          </w:rPr>
          <w:t xml:space="preserve">protocols.io</w:t>
        </w:r>
      </w:hyperlink>
      <w:r>
        <w:t xml:space="preserve">.</w:t>
      </w:r>
    </w:p>
    <w:bookmarkEnd w:id="84"/>
    <w:bookmarkStart w:id="85"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5"/>
    <w:bookmarkStart w:id="86"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6"/>
    <w:bookmarkStart w:id="87"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lowers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7"/>
    <w:bookmarkStart w:id="88"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further explanation. Consequently, their meaning cannot be understood: Is, for example, an ellipsis a statistical confidence ellipsis or is it an annotation to highlight specific parts of the data?</w:t>
      </w:r>
    </w:p>
    <w:p>
      <w:pPr>
        <w:pStyle w:val="Textkrper"/>
      </w:pP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p>
    <w:p>
      <w:pPr>
        <w:pStyle w:val="Textkrper"/>
      </w:pP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not be reproduced because the statistics itself was not reproducible.</w:t>
      </w:r>
    </w:p>
    <w:p>
      <w:pPr>
        <w:pStyle w:val="Textkrper"/>
      </w:pPr>
      <w:r>
        <w:t xml:space="preserve">All these findings highlight the importance of data pipelines for data processing, including visualisation, and the publication of raw data alongside them in the publication or accompanying data publication</w:t>
      </w:r>
      <w:r>
        <w:t xml:space="preserve"> </w:t>
      </w:r>
      <w:r>
        <w:t xml:space="preserve">(Marwick et al. 2018; Nüst et al. 2020; Marwick 2025)</w:t>
      </w:r>
      <w:r>
        <w:t xml:space="preserve">. This combination guarantees that the link between the data and the visualisations cannot break. Because every step is recorded, the risk for human error is significantly reduced. In fact, any direct human interaction with the dataset can be eliminated if the pipeline starts directly at the raw data. Moreover, reviewers and data re-users can run the pipeline as well, providing an easy way to verify that data processing is reproducible.</w:t>
      </w:r>
    </w:p>
    <w:bookmarkEnd w:id="88"/>
    <w:bookmarkStart w:id="89" w:name="a-way-forward-astr"/>
    <w:p>
      <w:pPr>
        <w:pStyle w:val="berschrift2"/>
      </w:pPr>
      <w:r>
        <w:t xml:space="preserve">A way forward: ASTR</w:t>
      </w:r>
    </w:p>
    <w:p>
      <w:pPr>
        <w:pStyle w:val="FirstParagraph"/>
      </w:pPr>
      <w:r>
        <w:t xml:space="preserve">A promising way towards increased computational reproducibility of analytical data may be the adoption of the community-driven reporting format recently suggested by the developers of the R package ASTR “Archaeometric Standards and Tools in R”. In contrast to previous suggestions</w:t>
      </w:r>
      <w:r>
        <w:t xml:space="preserve"> </w:t>
      </w:r>
      <w:r>
        <w:t xml:space="preserve">(e.g., Case et al. 2024; Staudigel et al. 2003)</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 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89"/>
    <w:bookmarkStart w:id="90"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w:t>
      </w:r>
      <w:r>
        <w:t xml:space="preserve"> </w:t>
      </w:r>
      <w:r>
        <w:t xml:space="preserve">(see criticism in 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 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this situation, the usefulness of data availability statements could be questioned. However, they undeniably provide a quick orientation where data can be found or why it is not provided. Therefore, these findings should be interpret as encouragement for editors and reviewers to become more rigorous in the application of the editorial policies, and a call to all authors to be more attentive when writing data availability statements.</w:t>
      </w:r>
    </w:p>
    <w:bookmarkEnd w:id="90"/>
    <w:bookmarkEnd w:id="91"/>
    <w:bookmarkStart w:id="92" w:name="conclusions"/>
    <w:p>
      <w:pPr>
        <w:pStyle w:val="berschrift1"/>
      </w:pPr>
      <w:r>
        <w:t xml:space="preserve">Conclusions</w:t>
      </w:r>
    </w:p>
    <w:p>
      <w:pPr>
        <w:pStyle w:val="FirstParagraph"/>
      </w:pPr>
      <w:r>
        <w:t xml:space="preserve">The inherently destructive nature of archaeological research makes reproducibility a key criteria for data quality in the discipline.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2024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improving reproducibility are given for each of the topics. Most importantly, data publications provide the option to record the necessary details about the sampling and analytical protocols that often cannot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or data types are nevertheless required, and the presented index can serve as the starting points for this endeavour. These insights can then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92"/>
    <w:bookmarkStart w:id="93" w:name="funding"/>
    <w:p>
      <w:pPr>
        <w:pStyle w:val="berschrift1"/>
      </w:pPr>
      <w:r>
        <w:t xml:space="preserve">Funding</w:t>
      </w:r>
    </w:p>
    <w:p>
      <w:pPr>
        <w:pStyle w:val="FirstParagraph"/>
      </w:pPr>
      <w:r>
        <w:t xml:space="preserve">This study was funded by the Deutsche Forschungsgemeinschaft (DFG, German Research Foundation) – 571205551.</w:t>
      </w:r>
    </w:p>
    <w:bookmarkEnd w:id="93"/>
    <w:bookmarkStart w:id="98" w:name="statements-and-declarations"/>
    <w:p>
      <w:pPr>
        <w:pStyle w:val="berschrift1"/>
      </w:pPr>
      <w:r>
        <w:t xml:space="preserve">Statements and Declarations</w:t>
      </w:r>
    </w:p>
    <w:bookmarkStart w:id="95"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(&lt;###DOI###&gt;) and as</w:t>
      </w:r>
      <w:r>
        <w:t xml:space="preserve"> </w:t>
      </w:r>
      <w:hyperlink r:id="rId94">
        <w:r>
          <w:rPr>
            <w:rStyle w:val="Hyperlink"/>
          </w:rPr>
          <w:t xml:space="preserve">Github repository</w:t>
        </w:r>
      </w:hyperlink>
      <w:r>
        <w:t xml:space="preserve">.</w:t>
      </w:r>
    </w:p>
    <w:bookmarkEnd w:id="95"/>
    <w:bookmarkStart w:id="96" w:name="competing-interests"/>
    <w:p>
      <w:pPr>
        <w:pStyle w:val="berschrift2"/>
      </w:pPr>
      <w:r>
        <w:t xml:space="preserve">Competing interests</w:t>
      </w:r>
    </w:p>
    <w:p>
      <w:pPr>
        <w:pStyle w:val="FirstParagraph"/>
      </w:pPr>
      <w:r>
        <w:t xml:space="preserve">The authors are part of the ASTR developer team. They have no other competing interests to declare that are relevant to the content of this article.</w:t>
      </w:r>
    </w:p>
    <w:bookmarkEnd w:id="96"/>
    <w:bookmarkStart w:id="97" w:name="author-contributions"/>
    <w:p>
      <w:pPr>
        <w:pStyle w:val="berschrift2"/>
      </w:pPr>
      <w:r>
        <w:t xml:space="preserve">Author contributions</w:t>
      </w:r>
    </w:p>
    <w:p>
      <w:pPr>
        <w:pStyle w:val="FirstParagraph"/>
      </w:pPr>
      <w:r>
        <w:t xml:space="preserve">Berber S. van der Meulen-van der Veen: Conceptualization, Data curation, Formal analysis, Investigation, Methodology, Software, Writing – original draft, Writing – review &amp; editing</w:t>
      </w:r>
      <w:r>
        <w:br/>
      </w:r>
      <w:r>
        <w:t xml:space="preserve">Thomas Rose: Conceptualization, Data curation, Funding acquisition, Methodology, Software, Validation, Visualization, Writing – original draft, Writing – review &amp; editing</w:t>
      </w:r>
    </w:p>
    <w:bookmarkEnd w:id="97"/>
    <w:bookmarkEnd w:id="98"/>
    <w:bookmarkStart w:id="272" w:name="references"/>
    <w:p>
      <w:pPr>
        <w:pStyle w:val="berschrift1"/>
      </w:pPr>
      <w:r>
        <w:t xml:space="preserve">References</w:t>
      </w:r>
    </w:p>
    <w:bookmarkStart w:id="271" w:name="refs"/>
    <w:bookmarkStart w:id="100" w:name="ref-abdill_how-guide_2024"/>
    <w:p>
      <w:pPr>
        <w:pStyle w:val="Literaturverzeichnis"/>
      </w:pPr>
      <w:r>
        <w:t xml:space="preserve">Abdill RJ, Talarico E, Grieneisen L (2024) A how-to guide for code sharing in biology. PLOS Biology 22:e3002815.</w:t>
      </w:r>
      <w:r>
        <w:t xml:space="preserve"> </w:t>
      </w:r>
      <w:hyperlink r:id="rId99">
        <w:r>
          <w:rPr>
            <w:rStyle w:val="Hyperlink"/>
          </w:rPr>
          <w:t xml:space="preserve">https://doi.org/10.1371/journal.pbio.3002815</w:t>
        </w:r>
      </w:hyperlink>
    </w:p>
    <w:bookmarkEnd w:id="100"/>
    <w:bookmarkStart w:id="102"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101">
        <w:r>
          <w:rPr>
            <w:rStyle w:val="Hyperlink"/>
          </w:rPr>
          <w:t xml:space="preserve">https://doi.org/10.5465/annals.2016.0011</w:t>
        </w:r>
      </w:hyperlink>
    </w:p>
    <w:bookmarkEnd w:id="102"/>
    <w:bookmarkStart w:id="104" w:name="ref-Allaire_Quarto_2026"/>
    <w:p>
      <w:pPr>
        <w:pStyle w:val="Literaturverzeichnis"/>
      </w:pPr>
      <w:r>
        <w:t xml:space="preserve">Allaire JJ, Teague C, Scheidegger C, et al (2026)</w:t>
      </w:r>
      <w:r>
        <w:t xml:space="preserve"> </w:t>
      </w:r>
      <w:hyperlink r:id="rId103">
        <w:r>
          <w:rPr>
            <w:rStyle w:val="Hyperlink"/>
          </w:rPr>
          <w:t xml:space="preserve">Quarto</w:t>
        </w:r>
      </w:hyperlink>
    </w:p>
    <w:bookmarkEnd w:id="104"/>
    <w:bookmarkStart w:id="106"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5">
        <w:r>
          <w:rPr>
            <w:rStyle w:val="Hyperlink"/>
          </w:rPr>
          <w:t xml:space="preserve">https://doi.org/10.1140/epjp/s13360-025-06473-z</w:t>
        </w:r>
      </w:hyperlink>
    </w:p>
    <w:bookmarkEnd w:id="106"/>
    <w:bookmarkStart w:id="108"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7">
        <w:r>
          <w:rPr>
            <w:rStyle w:val="Hyperlink"/>
          </w:rPr>
          <w:t xml:space="preserve">https://doi.org/10.1017/aap.2023.38</w:t>
        </w:r>
      </w:hyperlink>
    </w:p>
    <w:bookmarkEnd w:id="108"/>
    <w:bookmarkStart w:id="109" w:name="ref-baker_is_2016"/>
    <w:p>
      <w:pPr>
        <w:pStyle w:val="Literaturverzeichnis"/>
      </w:pPr>
      <w:r>
        <w:t xml:space="preserve">Baker M (2016) Is there a reproducibility crisis? Nature 533:452–454</w:t>
      </w:r>
    </w:p>
    <w:bookmarkEnd w:id="109"/>
    <w:bookmarkStart w:id="111" w:name="ref-barba_terminologies_2018"/>
    <w:p>
      <w:pPr>
        <w:pStyle w:val="Literaturverzeichnis"/>
      </w:pPr>
      <w:r>
        <w:t xml:space="preserve">Barba LA (2018)</w:t>
      </w:r>
      <w:r>
        <w:t xml:space="preserve"> </w:t>
      </w:r>
      <w:hyperlink r:id="rId110">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11"/>
    <w:bookmarkStart w:id="113"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12">
        <w:r>
          <w:rPr>
            <w:rStyle w:val="Hyperlink"/>
          </w:rPr>
          <w:t xml:space="preserve">https://doi.org/10.1038/s41597-022-01710-x</w:t>
        </w:r>
      </w:hyperlink>
    </w:p>
    <w:bookmarkEnd w:id="113"/>
    <w:bookmarkStart w:id="114" w:name="ref-baxter_exploratory_1994"/>
    <w:p>
      <w:pPr>
        <w:pStyle w:val="Literaturverzeichnis"/>
      </w:pPr>
      <w:r>
        <w:t xml:space="preserve">Baxter MJ (1994) Exploratory</w:t>
      </w:r>
      <w:r>
        <w:t xml:space="preserve"> </w:t>
      </w:r>
      <w:r>
        <w:t xml:space="preserve">Multivariate</w:t>
      </w:r>
      <w:r>
        <w:t xml:space="preserve"> </w:t>
      </w:r>
      <w:r>
        <w:t xml:space="preserve">Analysis</w:t>
      </w:r>
      <w:r>
        <w:t xml:space="preserve"> </w:t>
      </w:r>
      <w:r>
        <w:t xml:space="preserve">in</w:t>
      </w:r>
      <w:r>
        <w:t xml:space="preserve"> </w:t>
      </w:r>
      <w:r>
        <w:t xml:space="preserve">Archaeology</w:t>
      </w:r>
      <w:r>
        <w:t xml:space="preserve">. Edinburgh University Press, Edinburgh</w:t>
      </w:r>
    </w:p>
    <w:bookmarkEnd w:id="114"/>
    <w:bookmarkStart w:id="116"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5">
        <w:r>
          <w:rPr>
            <w:rStyle w:val="Hyperlink"/>
          </w:rPr>
          <w:t xml:space="preserve">https://doi.org/10.1080/02664769822891</w:t>
        </w:r>
      </w:hyperlink>
    </w:p>
    <w:bookmarkEnd w:id="116"/>
    <w:bookmarkStart w:id="118"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7">
        <w:r>
          <w:rPr>
            <w:rStyle w:val="Hyperlink"/>
          </w:rPr>
          <w:t xml:space="preserve">https://doi.org/10.1017/RDC.2019.55</w:t>
        </w:r>
      </w:hyperlink>
    </w:p>
    <w:bookmarkEnd w:id="118"/>
    <w:bookmarkStart w:id="120"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19">
        <w:r>
          <w:rPr>
            <w:rStyle w:val="Hyperlink"/>
          </w:rPr>
          <w:t xml:space="preserve">https://doi.org/10.1161/CIRCRESAHA.114.303819</w:t>
        </w:r>
      </w:hyperlink>
    </w:p>
    <w:bookmarkEnd w:id="120"/>
    <w:bookmarkStart w:id="122"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21">
        <w:r>
          <w:rPr>
            <w:rStyle w:val="Hyperlink"/>
          </w:rPr>
          <w:t xml:space="preserve">https://doi.org/10.1002/sta4.332</w:t>
        </w:r>
      </w:hyperlink>
    </w:p>
    <w:bookmarkEnd w:id="122"/>
    <w:bookmarkStart w:id="124"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23">
        <w:r>
          <w:rPr>
            <w:rStyle w:val="Hyperlink"/>
          </w:rPr>
          <w:t xml:space="preserve">https://doi.org/10.1371/journal.pone.0297931</w:t>
        </w:r>
      </w:hyperlink>
    </w:p>
    <w:bookmarkEnd w:id="124"/>
    <w:bookmarkStart w:id="126" w:name="ref-blischak_workflowr_2018"/>
    <w:p>
      <w:pPr>
        <w:pStyle w:val="Literaturverzeichnis"/>
      </w:pPr>
      <w:r>
        <w:t xml:space="preserve">Blischak J, Carbonetto P, Stephens M (2018)</w:t>
      </w:r>
      <w:r>
        <w:t xml:space="preserve"> </w:t>
      </w:r>
      <w:hyperlink r:id="rId125">
        <w:r>
          <w:rPr>
            <w:rStyle w:val="Hyperlink"/>
          </w:rPr>
          <w:t xml:space="preserve">Workflowr:</w:t>
        </w:r>
        <w:r>
          <w:rPr>
            <w:rStyle w:val="Hyperlink"/>
          </w:rPr>
          <w:t xml:space="preserve"> </w:t>
        </w:r>
        <w:r>
          <w:rPr>
            <w:rStyle w:val="Hyperlink"/>
          </w:rPr>
          <w:t xml:space="preserve">A</w:t>
        </w:r>
        <w:r>
          <w:rPr>
            <w:rStyle w:val="Hyperlink"/>
          </w:rPr>
          <w:t xml:space="preserve"> </w:t>
        </w:r>
        <w:r>
          <w:rPr>
            <w:rStyle w:val="Hyperlink"/>
          </w:rPr>
          <w:t xml:space="preserve">Framework</w:t>
        </w:r>
        <w:r>
          <w:rPr>
            <w:rStyle w:val="Hyperlink"/>
          </w:rPr>
          <w:t xml:space="preserve"> </w:t>
        </w:r>
        <w:r>
          <w:rPr>
            <w:rStyle w:val="Hyperlink"/>
          </w:rPr>
          <w:t xml:space="preserve">for</w:t>
        </w:r>
        <w:r>
          <w:rPr>
            <w:rStyle w:val="Hyperlink"/>
          </w:rPr>
          <w:t xml:space="preserve"> </w:t>
        </w:r>
        <w:r>
          <w:rPr>
            <w:rStyle w:val="Hyperlink"/>
          </w:rPr>
          <w:t xml:space="preserve">Reproducible</w:t>
        </w:r>
        <w:r>
          <w:rPr>
            <w:rStyle w:val="Hyperlink"/>
          </w:rPr>
          <w:t xml:space="preserve"> </w:t>
        </w:r>
        <w:r>
          <w:rPr>
            <w:rStyle w:val="Hyperlink"/>
          </w:rPr>
          <w:t xml:space="preserve">and</w:t>
        </w:r>
        <w:r>
          <w:rPr>
            <w:rStyle w:val="Hyperlink"/>
          </w:rPr>
          <w:t xml:space="preserve"> </w:t>
        </w:r>
        <w:r>
          <w:rPr>
            <w:rStyle w:val="Hyperlink"/>
          </w:rPr>
          <w:t xml:space="preserve">Collaborative</w:t>
        </w:r>
        <w:r>
          <w:rPr>
            <w:rStyle w:val="Hyperlink"/>
          </w:rPr>
          <w:t xml:space="preserve"> </w:t>
        </w:r>
        <w:r>
          <w:rPr>
            <w:rStyle w:val="Hyperlink"/>
          </w:rPr>
          <w:t xml:space="preserve">Data</w:t>
        </w:r>
        <w:r>
          <w:rPr>
            <w:rStyle w:val="Hyperlink"/>
          </w:rPr>
          <w:t xml:space="preserve"> </w:t>
        </w:r>
        <w:r>
          <w:rPr>
            <w:rStyle w:val="Hyperlink"/>
          </w:rPr>
          <w:t xml:space="preserve">Science</w:t>
        </w:r>
      </w:hyperlink>
    </w:p>
    <w:bookmarkEnd w:id="126"/>
    <w:bookmarkStart w:id="128"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7">
        <w:r>
          <w:rPr>
            <w:rStyle w:val="Hyperlink"/>
          </w:rPr>
          <w:t xml:space="preserve">https://doi.org/10.1093/gigascience/giaa056</w:t>
        </w:r>
      </w:hyperlink>
    </w:p>
    <w:bookmarkEnd w:id="128"/>
    <w:bookmarkStart w:id="130"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29">
        <w:r>
          <w:rPr>
            <w:rStyle w:val="Hyperlink"/>
          </w:rPr>
          <w:t xml:space="preserve">https://doi.org/10.1093/gji/ggz246</w:t>
        </w:r>
      </w:hyperlink>
    </w:p>
    <w:bookmarkEnd w:id="130"/>
    <w:bookmarkStart w:id="132" w:name="ref-camerer_evaluating_2016"/>
    <w:p>
      <w:pPr>
        <w:pStyle w:val="Literaturverzeichnis"/>
      </w:pPr>
      <w:r>
        <w:t xml:space="preserve">Camerer CF, Dreber A, Forsell E, et al (2016) Evaluating replicability of laboratory experiments in economics. Science 351:1433–1436.</w:t>
      </w:r>
      <w:r>
        <w:t xml:space="preserve"> </w:t>
      </w:r>
      <w:hyperlink r:id="rId131">
        <w:r>
          <w:rPr>
            <w:rStyle w:val="Hyperlink"/>
          </w:rPr>
          <w:t xml:space="preserve">https://doi.org/10.1126/science.aaf0918</w:t>
        </w:r>
      </w:hyperlink>
    </w:p>
    <w:bookmarkEnd w:id="132"/>
    <w:bookmarkStart w:id="134" w:name="ref-case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33">
        <w:r>
          <w:rPr>
            <w:rStyle w:val="Hyperlink"/>
          </w:rPr>
          <w:t xml:space="preserve">https://doi.org/10.26186/149408</w:t>
        </w:r>
      </w:hyperlink>
    </w:p>
    <w:bookmarkEnd w:id="134"/>
    <w:bookmarkStart w:id="136"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35">
        <w:r>
          <w:rPr>
            <w:rStyle w:val="Hyperlink"/>
          </w:rPr>
          <w:t xml:space="preserve">https://doi.org/10.1038/s43017-021-00237-w</w:t>
        </w:r>
      </w:hyperlink>
    </w:p>
    <w:bookmarkEnd w:id="136"/>
    <w:bookmarkStart w:id="138" w:name="ref-rcrossref"/>
    <w:p>
      <w:pPr>
        <w:pStyle w:val="Literaturverzeichnis"/>
      </w:pPr>
      <w:r>
        <w:t xml:space="preserve">Chamberlain S, Zhu H, Jahn N, et al (2025)</w:t>
      </w:r>
      <w:r>
        <w:t xml:space="preserve"> </w:t>
      </w:r>
      <w:hyperlink r:id="rId137">
        <w:r>
          <w:rPr>
            <w:rStyle w:val="Hyperlink"/>
          </w:rPr>
          <w:t xml:space="preserve">Rcrossref: Client for various ’CrossRef’ ’APIs’</w:t>
        </w:r>
      </w:hyperlink>
    </w:p>
    <w:bookmarkEnd w:id="138"/>
    <w:bookmarkStart w:id="140" w:name="ref-crema_statistical_2025"/>
    <w:p>
      <w:pPr>
        <w:pStyle w:val="Literaturverzeichnis"/>
      </w:pPr>
      <w:r>
        <w:t xml:space="preserve">Crema ER (2025) Statistical modelling in archaeology: Some recent trends and future perspectives. Journal of Archaeological Science 180:106295.</w:t>
      </w:r>
      <w:r>
        <w:t xml:space="preserve"> </w:t>
      </w:r>
      <w:hyperlink r:id="rId139">
        <w:r>
          <w:rPr>
            <w:rStyle w:val="Hyperlink"/>
          </w:rPr>
          <w:t xml:space="preserve">https://doi.org/10.1016/j.jas.2025.106295</w:t>
        </w:r>
      </w:hyperlink>
    </w:p>
    <w:bookmarkEnd w:id="140"/>
    <w:bookmarkStart w:id="142"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41">
        <w:r>
          <w:rPr>
            <w:rStyle w:val="Hyperlink"/>
          </w:rPr>
          <w:t xml:space="preserve">https://doi.org/10.2218/ijdc.v11i1.401</w:t>
        </w:r>
      </w:hyperlink>
    </w:p>
    <w:bookmarkEnd w:id="142"/>
    <w:bookmarkStart w:id="144"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43">
        <w:r>
          <w:rPr>
            <w:rStyle w:val="Hyperlink"/>
          </w:rPr>
          <w:t xml:space="preserve">https://doi.org/10.1016/j.chemgeo.2003.08.003</w:t>
        </w:r>
      </w:hyperlink>
    </w:p>
    <w:bookmarkEnd w:id="144"/>
    <w:bookmarkStart w:id="146" w:name="ref-densmore_virtual_2022"/>
    <w:p>
      <w:pPr>
        <w:pStyle w:val="Literaturverzeichnis"/>
      </w:pPr>
      <w:r>
        <w:t xml:space="preserve">Densmore AL (2022)</w:t>
      </w:r>
      <w:r>
        <w:t xml:space="preserve"> </w:t>
      </w:r>
      <w:hyperlink r:id="rId145">
        <w:r>
          <w:rPr>
            <w:rStyle w:val="Hyperlink"/>
          </w:rPr>
          <w:t xml:space="preserve">Virtual Excavations: Digital Repositories, Data Reuse, and Ethically Accessible Archaeology</w:t>
        </w:r>
      </w:hyperlink>
      <w:r>
        <w:t xml:space="preserve">. Master of {Science}, University of Wisconsin-Milwaukee</w:t>
      </w:r>
    </w:p>
    <w:bookmarkEnd w:id="146"/>
    <w:bookmarkStart w:id="148"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47">
        <w:r>
          <w:rPr>
            <w:rStyle w:val="Hyperlink"/>
          </w:rPr>
          <w:t xml:space="preserve">https://doi.org/10.1038/s41386-024-01973-5</w:t>
        </w:r>
      </w:hyperlink>
    </w:p>
    <w:bookmarkEnd w:id="148"/>
    <w:bookmarkStart w:id="150" w:name="ref-erb-satullo_iron_2025"/>
    <w:p>
      <w:pPr>
        <w:pStyle w:val="Literaturverzeichnis"/>
      </w:pPr>
      <w:r>
        <w:t xml:space="preserve">Erb-Satullo NL, Klymchuk BW (2025) Iron in copper metallurgy at the dawn of the</w:t>
      </w:r>
      <w:r>
        <w:t xml:space="preserve"> </w:t>
      </w:r>
      <w:r>
        <w:t xml:space="preserve">Iron</w:t>
      </w:r>
      <w:r>
        <w:t xml:space="preserve"> </w:t>
      </w:r>
      <w:r>
        <w:t xml:space="preserve">Age</w:t>
      </w:r>
      <w:r>
        <w:t xml:space="preserve">:</w:t>
      </w:r>
      <w:r>
        <w:t xml:space="preserve"> </w:t>
      </w:r>
      <w:r>
        <w:t xml:space="preserve">Insights</w:t>
      </w:r>
      <w:r>
        <w:t xml:space="preserve"> </w:t>
      </w:r>
      <w:r>
        <w:t xml:space="preserve">on iron invention from a mining and smelting site in the</w:t>
      </w:r>
      <w:r>
        <w:t xml:space="preserve"> </w:t>
      </w:r>
      <w:r>
        <w:t xml:space="preserve">Caucasus</w:t>
      </w:r>
      <w:r>
        <w:t xml:space="preserve">. Journal of Archaeological Science 183:106338.</w:t>
      </w:r>
      <w:r>
        <w:t xml:space="preserve"> </w:t>
      </w:r>
      <w:hyperlink r:id="rId149">
        <w:r>
          <w:rPr>
            <w:rStyle w:val="Hyperlink"/>
          </w:rPr>
          <w:t xml:space="preserve">https://doi.org/10.1016/j.jas.2025.106338</w:t>
        </w:r>
      </w:hyperlink>
    </w:p>
    <w:bookmarkEnd w:id="150"/>
    <w:bookmarkStart w:id="152" w:name="ref-faniel_challenges_2013"/>
    <w:p>
      <w:pPr>
        <w:pStyle w:val="Literaturverzeichnis"/>
      </w:pPr>
      <w:r>
        <w:t xml:space="preserve">Faniel I, Kansa E, Whitcher Kansa S, et al (2013)</w:t>
      </w:r>
      <w:r>
        <w:t xml:space="preserve"> </w:t>
      </w:r>
      <w:hyperlink r:id="rId151">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52"/>
    <w:bookmarkStart w:id="154"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53">
        <w:r>
          <w:rPr>
            <w:rStyle w:val="Hyperlink"/>
          </w:rPr>
          <w:t xml:space="preserve">https://doi.org/10.1002/asi.23480</w:t>
        </w:r>
      </w:hyperlink>
    </w:p>
    <w:bookmarkEnd w:id="154"/>
    <w:bookmarkStart w:id="156"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55">
        <w:r>
          <w:rPr>
            <w:rStyle w:val="Hyperlink"/>
          </w:rPr>
          <w:t xml:space="preserve">https://doi.org/10.1287/mnsc.2023.03556</w:t>
        </w:r>
      </w:hyperlink>
    </w:p>
    <w:bookmarkEnd w:id="156"/>
    <w:bookmarkStart w:id="158"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57">
        <w:r>
          <w:rPr>
            <w:rStyle w:val="Hyperlink"/>
          </w:rPr>
          <w:t xml:space="preserve">https://doi.org/10.1111/nyas.13325</w:t>
        </w:r>
      </w:hyperlink>
    </w:p>
    <w:bookmarkEnd w:id="158"/>
    <w:bookmarkStart w:id="160" w:name="ref-goldstein_requirements_2014"/>
    <w:p>
      <w:pPr>
        <w:pStyle w:val="Literaturverzeichnis"/>
      </w:pPr>
      <w:r>
        <w:t xml:space="preserve">Goldstein S, Lehnert K, Hofmann A (2014)</w:t>
      </w:r>
      <w:r>
        <w:t xml:space="preserve"> </w:t>
      </w:r>
      <w:hyperlink r:id="rId159">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60"/>
    <w:bookmarkStart w:id="162"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61">
        <w:r>
          <w:rPr>
            <w:rStyle w:val="Hyperlink"/>
          </w:rPr>
          <w:t xml:space="preserve">https://doi.org/10.1016/j.jas.2009.10.004</w:t>
        </w:r>
      </w:hyperlink>
    </w:p>
    <w:bookmarkEnd w:id="162"/>
    <w:bookmarkStart w:id="164"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63">
        <w:r>
          <w:rPr>
            <w:rStyle w:val="Hyperlink"/>
          </w:rPr>
          <w:t xml:space="preserve">https://doi.org/10.1086/adx.29.1.27949541</w:t>
        </w:r>
      </w:hyperlink>
    </w:p>
    <w:bookmarkEnd w:id="164"/>
    <w:bookmarkStart w:id="166"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65">
        <w:r>
          <w:rPr>
            <w:rStyle w:val="Hyperlink"/>
          </w:rPr>
          <w:t xml:space="preserve">https://doi.org/10.1111/arcm.12488</w:t>
        </w:r>
      </w:hyperlink>
    </w:p>
    <w:bookmarkEnd w:id="166"/>
    <w:bookmarkStart w:id="168"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67">
        <w:r>
          <w:rPr>
            <w:rStyle w:val="Hyperlink"/>
          </w:rPr>
          <w:t xml:space="preserve">https://doi.org/10.1111/arcm.12282</w:t>
        </w:r>
      </w:hyperlink>
    </w:p>
    <w:bookmarkEnd w:id="168"/>
    <w:bookmarkStart w:id="170"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69">
        <w:r>
          <w:rPr>
            <w:rStyle w:val="Hyperlink"/>
          </w:rPr>
          <w:t xml:space="preserve">https://doi.org/10.1017/aap.2022.41</w:t>
        </w:r>
      </w:hyperlink>
    </w:p>
    <w:bookmarkEnd w:id="170"/>
    <w:bookmarkStart w:id="172"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71">
        <w:r>
          <w:rPr>
            <w:rStyle w:val="Hyperlink"/>
          </w:rPr>
          <w:t xml:space="preserve">https://doi.org/10.1111/arcm.12347</w:t>
        </w:r>
      </w:hyperlink>
    </w:p>
    <w:bookmarkEnd w:id="172"/>
    <w:bookmarkStart w:id="174"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73">
        <w:r>
          <w:rPr>
            <w:rStyle w:val="Hyperlink"/>
          </w:rPr>
          <w:t xml:space="preserve">https://doi.org/10.1017/aap.2018.1</w:t>
        </w:r>
      </w:hyperlink>
    </w:p>
    <w:bookmarkEnd w:id="174"/>
    <w:bookmarkStart w:id="176"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75">
        <w:r>
          <w:rPr>
            <w:rStyle w:val="Hyperlink"/>
          </w:rPr>
          <w:t xml:space="preserve">https://doi.org/10.1017/aap.2024.6</w:t>
        </w:r>
      </w:hyperlink>
    </w:p>
    <w:bookmarkEnd w:id="176"/>
    <w:bookmarkStart w:id="178"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77">
        <w:r>
          <w:rPr>
            <w:rStyle w:val="Hyperlink"/>
          </w:rPr>
          <w:t xml:space="preserve">https://doi.org/10.1073/pnas.2109313118</w:t>
        </w:r>
      </w:hyperlink>
    </w:p>
    <w:bookmarkEnd w:id="178"/>
    <w:bookmarkStart w:id="180"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79">
        <w:r>
          <w:rPr>
            <w:rStyle w:val="Hyperlink"/>
          </w:rPr>
          <w:t xml:space="preserve">https://doi.org/10.14237/ebl.6.2.2015.467</w:t>
        </w:r>
      </w:hyperlink>
    </w:p>
    <w:bookmarkEnd w:id="180"/>
    <w:bookmarkStart w:id="182"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81">
        <w:r>
          <w:rPr>
            <w:rStyle w:val="Hyperlink"/>
          </w:rPr>
          <w:t xml:space="preserve">https://doi.org/10.1016/j.bpsgos.2023.08.007</w:t>
        </w:r>
      </w:hyperlink>
    </w:p>
    <w:bookmarkEnd w:id="182"/>
    <w:bookmarkStart w:id="184"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83">
        <w:r>
          <w:rPr>
            <w:rStyle w:val="Hyperlink"/>
          </w:rPr>
          <w:t xml:space="preserve">https://doi.org/10.1016/j.jasrep.2022.103788</w:t>
        </w:r>
      </w:hyperlink>
    </w:p>
    <w:bookmarkEnd w:id="184"/>
    <w:bookmarkStart w:id="186" w:name="ref-klingner_overcoming_2022"/>
    <w:p>
      <w:pPr>
        <w:pStyle w:val="Literaturverzeichnis"/>
      </w:pPr>
      <w:r>
        <w:t xml:space="preserve">Klingner CM, Denker M, Grün S, et al (2022)</w:t>
      </w:r>
      <w:r>
        <w:t xml:space="preserve"> </w:t>
      </w:r>
      <w:hyperlink r:id="rId185">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86"/>
    <w:bookmarkStart w:id="188"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87">
        <w:r>
          <w:rPr>
            <w:rStyle w:val="Hyperlink"/>
          </w:rPr>
          <w:t xml:space="preserve">https://doi.org/10.1523/ENEURO.0215-22.2023</w:t>
        </w:r>
      </w:hyperlink>
    </w:p>
    <w:bookmarkEnd w:id="188"/>
    <w:bookmarkStart w:id="190"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89">
        <w:r>
          <w:rPr>
            <w:rStyle w:val="Hyperlink"/>
          </w:rPr>
          <w:t xml:space="preserve">https://doi.org/10.1016/j.gca.2023.04.024</w:t>
        </w:r>
      </w:hyperlink>
    </w:p>
    <w:bookmarkEnd w:id="190"/>
    <w:bookmarkStart w:id="192" w:name="ref-kong_illustration_2019"/>
    <w:p>
      <w:pPr>
        <w:pStyle w:val="Literaturverzeichnis"/>
      </w:pPr>
      <w:r>
        <w:t xml:space="preserve">Kong X-Z, ENIGMA Laterality Working Group, Francks C (2019)</w:t>
      </w:r>
      <w:r>
        <w:t xml:space="preserve"> </w:t>
      </w:r>
      <w:hyperlink r:id="rId191">
        <w:r>
          <w:rPr>
            <w:rStyle w:val="Hyperlink"/>
          </w:rPr>
          <w:t xml:space="preserve">An illustration of reproducibility in neuroscience research in the absence of selective reporting</w:t>
        </w:r>
      </w:hyperlink>
    </w:p>
    <w:bookmarkEnd w:id="192"/>
    <w:bookmarkStart w:id="194"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93">
        <w:r>
          <w:rPr>
            <w:rStyle w:val="Hyperlink"/>
          </w:rPr>
          <w:t xml:space="preserve">https://doi.org/10.1080/13658816.2018.1508687</w:t>
        </w:r>
      </w:hyperlink>
    </w:p>
    <w:bookmarkEnd w:id="194"/>
    <w:bookmarkStart w:id="196" w:name="ref-lachenal_bronze_2026"/>
    <w:p>
      <w:pPr>
        <w:pStyle w:val="Literaturverzeichnis"/>
      </w:pPr>
      <w:r>
        <w:t xml:space="preserve">Lachenal T, Baron S, Le Carlier De Veslud C, et al (2026) Bronze</w:t>
      </w:r>
      <w:r>
        <w:t xml:space="preserve"> </w:t>
      </w:r>
      <w:r>
        <w:t xml:space="preserve">Age</w:t>
      </w:r>
      <w:r>
        <w:t xml:space="preserve"> </w:t>
      </w:r>
      <w:r>
        <w:t xml:space="preserve">copper supply in</w:t>
      </w:r>
      <w:r>
        <w:t xml:space="preserve"> </w:t>
      </w:r>
      <w:r>
        <w:t xml:space="preserve">Mediterranean</w:t>
      </w:r>
      <w:r>
        <w:t xml:space="preserve"> </w:t>
      </w:r>
      <w:r>
        <w:t xml:space="preserve">France</w:t>
      </w:r>
      <w:r>
        <w:t xml:space="preserve">: First results from lead isotope and chemical analyses of hoarded metalwork. Journal of Archaeological Science 185:106432.</w:t>
      </w:r>
      <w:r>
        <w:t xml:space="preserve"> </w:t>
      </w:r>
      <w:hyperlink r:id="rId195">
        <w:r>
          <w:rPr>
            <w:rStyle w:val="Hyperlink"/>
          </w:rPr>
          <w:t xml:space="preserve">https://doi.org/10.1016/j.jas.2025.106432</w:t>
        </w:r>
      </w:hyperlink>
    </w:p>
    <w:bookmarkEnd w:id="196"/>
    <w:bookmarkStart w:id="198"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97">
        <w:r>
          <w:rPr>
            <w:rStyle w:val="Hyperlink"/>
          </w:rPr>
          <w:t xml:space="preserve">https://doi.org/10.1016/j.aia.2023.100027</w:t>
        </w:r>
      </w:hyperlink>
    </w:p>
    <w:bookmarkEnd w:id="198"/>
    <w:bookmarkStart w:id="200"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199">
        <w:r>
          <w:rPr>
            <w:rStyle w:val="Hyperlink"/>
          </w:rPr>
          <w:t xml:space="preserve">https://doi.org/10.1111/j.1475-4754.2010.00585.x</w:t>
        </w:r>
      </w:hyperlink>
    </w:p>
    <w:bookmarkEnd w:id="200"/>
    <w:bookmarkStart w:id="202" w:name="ref-Marwick2017"/>
    <w:p>
      <w:pPr>
        <w:pStyle w:val="Literaturverzeichnis"/>
      </w:pPr>
      <w:r>
        <w:t xml:space="preserve">Marwick B (2017b) Computational reproducibility in archaeological research: Basic principles and a case study of their implementation. Journal of Archaeological Method and Theory 24:424–450.</w:t>
      </w:r>
      <w:r>
        <w:t xml:space="preserve"> </w:t>
      </w:r>
      <w:hyperlink r:id="rId201">
        <w:r>
          <w:rPr>
            <w:rStyle w:val="Hyperlink"/>
          </w:rPr>
          <w:t xml:space="preserve">https://doi.org/10.1007/s10816-015-9272-9</w:t>
        </w:r>
      </w:hyperlink>
    </w:p>
    <w:bookmarkEnd w:id="202"/>
    <w:bookmarkStart w:id="204"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203">
        <w:r>
          <w:rPr>
            <w:rStyle w:val="Hyperlink"/>
          </w:rPr>
          <w:t xml:space="preserve">https://doi.org/10.1016/j.jas.2025.106281</w:t>
        </w:r>
      </w:hyperlink>
    </w:p>
    <w:bookmarkEnd w:id="204"/>
    <w:bookmarkStart w:id="205" w:name="ref-marwick_computational_2017"/>
    <w:p>
      <w:pPr>
        <w:pStyle w:val="Literaturverzeichnis"/>
      </w:pPr>
      <w:r>
        <w:t xml:space="preserve">Marwick B (2017a) Computational</w:t>
      </w:r>
      <w:r>
        <w:t xml:space="preserve"> </w:t>
      </w:r>
      <w:r>
        <w:t xml:space="preserve">Reproducibility</w:t>
      </w:r>
      <w:r>
        <w:t xml:space="preserve"> </w:t>
      </w:r>
      <w:r>
        <w:t xml:space="preserve">in</w:t>
      </w:r>
      <w:r>
        <w:t xml:space="preserve"> </w:t>
      </w:r>
      <w:r>
        <w:t xml:space="preserve">Archaeological</w:t>
      </w:r>
      <w:r>
        <w:t xml:space="preserve"> </w:t>
      </w:r>
      <w:r>
        <w:t xml:space="preserve">Research</w:t>
      </w:r>
      <w:r>
        <w:t xml:space="preserve">:</w:t>
      </w:r>
      <w:r>
        <w:t xml:space="preserve"> </w:t>
      </w:r>
      <w:r>
        <w:t xml:space="preserve">Basic</w:t>
      </w:r>
      <w:r>
        <w:t xml:space="preserve"> </w:t>
      </w:r>
      <w:r>
        <w:t xml:space="preserve">Principles</w:t>
      </w:r>
      <w:r>
        <w:t xml:space="preserve"> </w:t>
      </w:r>
      <w:r>
        <w:t xml:space="preserve">and a</w:t>
      </w:r>
      <w:r>
        <w:t xml:space="preserve"> </w:t>
      </w:r>
      <w:r>
        <w:t xml:space="preserve">Case</w:t>
      </w:r>
      <w:r>
        <w:t xml:space="preserve"> </w:t>
      </w:r>
      <w:r>
        <w:t xml:space="preserve">Study</w:t>
      </w:r>
      <w:r>
        <w:t xml:space="preserve"> </w:t>
      </w:r>
      <w:r>
        <w:t xml:space="preserve">of</w:t>
      </w:r>
      <w:r>
        <w:t xml:space="preserve"> </w:t>
      </w:r>
      <w:r>
        <w:t xml:space="preserve">Their</w:t>
      </w:r>
      <w:r>
        <w:t xml:space="preserve"> </w:t>
      </w:r>
      <w:r>
        <w:t xml:space="preserve">Implementation</w:t>
      </w:r>
      <w:r>
        <w:t xml:space="preserve">. Journal of Archaeological Method and Theory 24:424–450.</w:t>
      </w:r>
      <w:r>
        <w:t xml:space="preserve"> </w:t>
      </w:r>
      <w:hyperlink r:id="rId201">
        <w:r>
          <w:rPr>
            <w:rStyle w:val="Hyperlink"/>
          </w:rPr>
          <w:t xml:space="preserve">https://doi.org/10.1007/s10816-015-9272-9</w:t>
        </w:r>
      </w:hyperlink>
    </w:p>
    <w:bookmarkEnd w:id="205"/>
    <w:bookmarkStart w:id="207"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206">
        <w:r>
          <w:rPr>
            <w:rStyle w:val="Hyperlink"/>
          </w:rPr>
          <w:t xml:space="preserve">https://doi.org/10.1017/aap.2018.3</w:t>
        </w:r>
      </w:hyperlink>
    </w:p>
    <w:bookmarkEnd w:id="207"/>
    <w:bookmarkStart w:id="209"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208">
        <w:r>
          <w:rPr>
            <w:rStyle w:val="Hyperlink"/>
          </w:rPr>
          <w:t xml:space="preserve">https://doi.org/10.1080/00031305.2017.1375986</w:t>
        </w:r>
      </w:hyperlink>
    </w:p>
    <w:bookmarkEnd w:id="209"/>
    <w:bookmarkStart w:id="211" w:name="ref-marwick_heres_2017"/>
    <w:p>
      <w:pPr>
        <w:pStyle w:val="Literaturverzeichnis"/>
      </w:pPr>
      <w:r>
        <w:t xml:space="preserve">Marwick B, Jacobs Z (2017)</w:t>
      </w:r>
      <w:r>
        <w:t xml:space="preserve"> </w:t>
      </w:r>
      <w:hyperlink r:id="rId210">
        <w:r>
          <w:rPr>
            <w:rStyle w:val="Hyperlink"/>
          </w:rPr>
          <w:t xml:space="preserve">Here’s the three-pronged approach we’re using in our own research to tackle the reproducibility issue</w:t>
        </w:r>
      </w:hyperlink>
    </w:p>
    <w:bookmarkEnd w:id="211"/>
    <w:bookmarkStart w:id="213" w:name="ref-rrtools"/>
    <w:p>
      <w:pPr>
        <w:pStyle w:val="Literaturverzeichnis"/>
      </w:pPr>
      <w:r>
        <w:t xml:space="preserve">Marwick B, Knitter D, Kennedy P, et al (2019)</w:t>
      </w:r>
      <w:r>
        <w:t xml:space="preserve"> </w:t>
      </w:r>
      <w:hyperlink r:id="rId212">
        <w:r>
          <w:rPr>
            <w:rStyle w:val="Hyperlink"/>
          </w:rPr>
          <w:t xml:space="preserve">Rrtools: Creates a reproducible research compendium</w:t>
        </w:r>
      </w:hyperlink>
    </w:p>
    <w:bookmarkEnd w:id="213"/>
    <w:bookmarkStart w:id="215"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214">
        <w:r>
          <w:rPr>
            <w:rStyle w:val="Hyperlink"/>
          </w:rPr>
          <w:t xml:space="preserve">https://doi.org/10.52294/001c.143700</w:t>
        </w:r>
      </w:hyperlink>
    </w:p>
    <w:bookmarkEnd w:id="215"/>
    <w:bookmarkStart w:id="217" w:name="ref-matarese_kinds_2022"/>
    <w:p>
      <w:pPr>
        <w:pStyle w:val="Literaturverzeichnis"/>
      </w:pPr>
      <w:r>
        <w:t xml:space="preserve">Matarese V (2022) Kinds of</w:t>
      </w:r>
      <w:r>
        <w:t xml:space="preserve"> </w:t>
      </w:r>
      <w:r>
        <w:t xml:space="preserve">Replicability</w:t>
      </w:r>
      <w:r>
        <w:t xml:space="preserve">:</w:t>
      </w:r>
      <w:r>
        <w:t xml:space="preserve"> </w:t>
      </w:r>
      <w:r>
        <w:t xml:space="preserve">Different</w:t>
      </w:r>
      <w:r>
        <w:t xml:space="preserve"> </w:t>
      </w:r>
      <w:r>
        <w:t xml:space="preserve">Terms</w:t>
      </w:r>
      <w:r>
        <w:t xml:space="preserve"> </w:t>
      </w:r>
      <w:r>
        <w:t xml:space="preserve">and</w:t>
      </w:r>
      <w:r>
        <w:t xml:space="preserve"> </w:t>
      </w:r>
      <w:r>
        <w:t xml:space="preserve">Different</w:t>
      </w:r>
      <w:r>
        <w:t xml:space="preserve"> </w:t>
      </w:r>
      <w:r>
        <w:t xml:space="preserve">Functions</w:t>
      </w:r>
      <w:r>
        <w:t xml:space="preserve">. Axiomathes 32:647–670.</w:t>
      </w:r>
      <w:r>
        <w:t xml:space="preserve"> </w:t>
      </w:r>
      <w:hyperlink r:id="rId216">
        <w:r>
          <w:rPr>
            <w:rStyle w:val="Hyperlink"/>
          </w:rPr>
          <w:t xml:space="preserve">https://doi.org/10.1007/s10516-021-09610-2</w:t>
        </w:r>
      </w:hyperlink>
    </w:p>
    <w:bookmarkEnd w:id="217"/>
    <w:bookmarkStart w:id="219" w:name="ref-may_barriers_2015"/>
    <w:p>
      <w:pPr>
        <w:pStyle w:val="Literaturverzeichnis"/>
      </w:pPr>
      <w:r>
        <w:t xml:space="preserve">May K, Binding C, Tudhope D (2015) Barriers and opportunities for</w:t>
      </w:r>
      <w:r>
        <w:t xml:space="preserve"> </w:t>
      </w:r>
      <w:r>
        <w:t xml:space="preserve">Linked</w:t>
      </w:r>
      <w:r>
        <w:t xml:space="preserve"> </w:t>
      </w:r>
      <w:r>
        <w:t xml:space="preserve">Open</w:t>
      </w:r>
      <w:r>
        <w:t xml:space="preserve"> </w:t>
      </w:r>
      <w:r>
        <w:t xml:space="preserve">Data</w:t>
      </w:r>
      <w:r>
        <w:t xml:space="preserve"> </w:t>
      </w:r>
      <w:r>
        <w:t xml:space="preserve">use in archaeology and cultural heritage.</w:t>
      </w:r>
      <w:r>
        <w:t xml:space="preserve"> </w:t>
      </w:r>
      <w:hyperlink r:id="rId218">
        <w:r>
          <w:rPr>
            <w:rStyle w:val="Hyperlink"/>
          </w:rPr>
          <w:t xml:space="preserve">https://doi.org/10.11588/AI.2015.1.26162</w:t>
        </w:r>
      </w:hyperlink>
    </w:p>
    <w:bookmarkEnd w:id="219"/>
    <w:bookmarkStart w:id="221"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20">
        <w:r>
          <w:rPr>
            <w:rStyle w:val="Hyperlink"/>
          </w:rPr>
          <w:t xml:space="preserve">https://doi.org/10.1016/j.cortex.2020.04.019</w:t>
        </w:r>
      </w:hyperlink>
    </w:p>
    <w:bookmarkEnd w:id="221"/>
    <w:bookmarkStart w:id="223"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22">
        <w:r>
          <w:rPr>
            <w:rStyle w:val="Hyperlink"/>
          </w:rPr>
          <w:t xml:space="preserve">https://doi.org/10.1007/s10827-018-0702-z</w:t>
        </w:r>
      </w:hyperlink>
    </w:p>
    <w:bookmarkEnd w:id="223"/>
    <w:bookmarkStart w:id="225"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24">
        <w:r>
          <w:rPr>
            <w:rStyle w:val="Hyperlink"/>
          </w:rPr>
          <w:t xml:space="preserve">https://doi.org/10.1016/j.jasrep.2021.103188</w:t>
        </w:r>
      </w:hyperlink>
    </w:p>
    <w:bookmarkEnd w:id="225"/>
    <w:bookmarkStart w:id="227"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26">
        <w:r>
          <w:rPr>
            <w:rStyle w:val="Hyperlink"/>
          </w:rPr>
          <w:t xml:space="preserve">https://doi.org/10.3389/fninf.2018.00018</w:t>
        </w:r>
      </w:hyperlink>
    </w:p>
    <w:bookmarkEnd w:id="227"/>
    <w:bookmarkStart w:id="229"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28">
        <w:r>
          <w:rPr>
            <w:rStyle w:val="Hyperlink"/>
          </w:rPr>
          <w:t xml:space="preserve">https://doi.org/10.1017/aap.2022.40</w:t>
        </w:r>
      </w:hyperlink>
    </w:p>
    <w:bookmarkEnd w:id="229"/>
    <w:bookmarkStart w:id="231"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30">
        <w:r>
          <w:rPr>
            <w:rStyle w:val="Hyperlink"/>
          </w:rPr>
          <w:t xml:space="preserve">https://doi.org/10.1371/journal.pcbi.1008316</w:t>
        </w:r>
      </w:hyperlink>
    </w:p>
    <w:bookmarkEnd w:id="231"/>
    <w:bookmarkStart w:id="233"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32">
        <w:r>
          <w:rPr>
            <w:rStyle w:val="Hyperlink"/>
          </w:rPr>
          <w:t xml:space="preserve">https://doi.org/10.3389/fninf.2017.00076</w:t>
        </w:r>
      </w:hyperlink>
    </w:p>
    <w:bookmarkEnd w:id="233"/>
    <w:bookmarkStart w:id="235"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34">
        <w:r>
          <w:rPr>
            <w:rStyle w:val="Hyperlink"/>
          </w:rPr>
          <w:t xml:space="preserve">https://doi.org/10.1046/j.1475-4754.2003.00130.x</w:t>
        </w:r>
      </w:hyperlink>
    </w:p>
    <w:bookmarkEnd w:id="235"/>
    <w:bookmarkStart w:id="237" w:name="ref-R_Core"/>
    <w:p>
      <w:pPr>
        <w:pStyle w:val="Literaturverzeichnis"/>
      </w:pPr>
      <w:r>
        <w:t xml:space="preserve">R Core Team (2026)</w:t>
      </w:r>
      <w:r>
        <w:t xml:space="preserve"> </w:t>
      </w:r>
      <w:hyperlink r:id="rId236">
        <w:r>
          <w:rPr>
            <w:rStyle w:val="Hyperlink"/>
          </w:rPr>
          <w:t xml:space="preserve">R: A language and environment for statistical computing</w:t>
        </w:r>
      </w:hyperlink>
      <w:r>
        <w:t xml:space="preserve">. R Foundation for Statistical Computing, Vienna, Austria</w:t>
      </w:r>
    </w:p>
    <w:bookmarkEnd w:id="237"/>
    <w:bookmarkStart w:id="239" w:name="ref-richards_anarchy_2009"/>
    <w:p>
      <w:pPr>
        <w:pStyle w:val="Literaturverzeichnis"/>
      </w:pPr>
      <w:r>
        <w:t xml:space="preserve">Richards JD (2009)</w:t>
      </w:r>
      <w:r>
        <w:t xml:space="preserve"> </w:t>
      </w:r>
      <w:hyperlink r:id="rId238">
        <w:r>
          <w:rPr>
            <w:rStyle w:val="Hyperlink"/>
          </w:rPr>
          <w:t xml:space="preserve">From anarchy to good practice: The evolution of standards in archaeological computing</w:t>
        </w:r>
      </w:hyperlink>
      <w:r>
        <w:t xml:space="preserve">. Archeologia e Calcolatori 20:27–35</w:t>
      </w:r>
    </w:p>
    <w:bookmarkEnd w:id="239"/>
    <w:bookmarkStart w:id="241"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40">
        <w:r>
          <w:rPr>
            <w:rStyle w:val="Hyperlink"/>
          </w:rPr>
          <w:t xml:space="preserve">https://doi.org/10.1002/rcm.8044</w:t>
        </w:r>
      </w:hyperlink>
    </w:p>
    <w:bookmarkEnd w:id="241"/>
    <w:bookmarkStart w:id="243" w:name="ref-astr"/>
    <w:p>
      <w:pPr>
        <w:pStyle w:val="Literaturverzeichnis"/>
      </w:pPr>
      <w:r>
        <w:t xml:space="preserve">Rose T, Abagna MA, Acevedo Mejia A, et al</w:t>
      </w:r>
      <w:r>
        <w:t xml:space="preserve"> </w:t>
      </w:r>
      <w:r>
        <w:t xml:space="preserve">(2026)</w:t>
      </w:r>
      <w:r>
        <w:t xml:space="preserve"> </w:t>
      </w:r>
      <w:hyperlink r:id="rId242">
        <w:r>
          <w:rPr>
            <w:rStyle w:val="Hyperlink"/>
          </w:rPr>
          <w:t xml:space="preserve">ASTR: Archaeometric standards and tools in r</w:t>
        </w:r>
      </w:hyperlink>
    </w:p>
    <w:bookmarkEnd w:id="243"/>
    <w:bookmarkStart w:id="245"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44">
        <w:r>
          <w:rPr>
            <w:rStyle w:val="Hyperlink"/>
          </w:rPr>
          <w:t xml:space="preserve">https://doi.org/10.1038/s44271-025-00236-3</w:t>
        </w:r>
      </w:hyperlink>
    </w:p>
    <w:bookmarkEnd w:id="245"/>
    <w:bookmarkStart w:id="247"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46">
        <w:r>
          <w:rPr>
            <w:rStyle w:val="Hyperlink"/>
          </w:rPr>
          <w:t xml:space="preserve">https://doi.org/10.1093/gigascience/giad113</w:t>
        </w:r>
      </w:hyperlink>
    </w:p>
    <w:bookmarkEnd w:id="247"/>
    <w:bookmarkStart w:id="248" w:name="ref-shadmehr_multivariate_2016"/>
    <w:p>
      <w:pPr>
        <w:pStyle w:val="Literaturverzeichnis"/>
      </w:pPr>
      <w:r>
        <w:t xml:space="preserve">Shadmehr A, Mostafaei S (2016) Multivariate</w:t>
      </w:r>
      <w:r>
        <w:t xml:space="preserve"> </w:t>
      </w:r>
      <w:r>
        <w:t xml:space="preserve">Statistical</w:t>
      </w:r>
      <w:r>
        <w:t xml:space="preserve"> </w:t>
      </w:r>
      <w:r>
        <w:t xml:space="preserve">Approaches</w:t>
      </w:r>
      <w:r>
        <w:t xml:space="preserve"> </w:t>
      </w:r>
      <w:r>
        <w:t xml:space="preserve">in</w:t>
      </w:r>
      <w:r>
        <w:t xml:space="preserve"> </w:t>
      </w:r>
      <w:r>
        <w:t xml:space="preserve">Archeology</w:t>
      </w:r>
      <w:r>
        <w:t xml:space="preserve">:</w:t>
      </w:r>
      <w:r>
        <w:t xml:space="preserve"> </w:t>
      </w:r>
      <w:r>
        <w:t xml:space="preserve">A</w:t>
      </w:r>
      <w:r>
        <w:t xml:space="preserve"> </w:t>
      </w:r>
      <w:r>
        <w:t xml:space="preserve">Systematic</w:t>
      </w:r>
      <w:r>
        <w:t xml:space="preserve"> </w:t>
      </w:r>
      <w:r>
        <w:t xml:space="preserve">Review</w:t>
      </w:r>
      <w:r>
        <w:t xml:space="preserve">. International Journal of the Society of Iranian Archaeologists 2:88–93</w:t>
      </w:r>
    </w:p>
    <w:bookmarkEnd w:id="248"/>
    <w:bookmarkStart w:id="250" w:name="ref-sheehan_comparing_2015"/>
    <w:p>
      <w:pPr>
        <w:pStyle w:val="Literaturverzeichnis"/>
      </w:pPr>
      <w:r>
        <w:t xml:space="preserve">Sheehan B (2015) Comparing</w:t>
      </w:r>
      <w:r>
        <w:t xml:space="preserve"> </w:t>
      </w:r>
      <w:r>
        <w:t xml:space="preserve">Digital</w:t>
      </w:r>
      <w:r>
        <w:t xml:space="preserve"> </w:t>
      </w:r>
      <w:r>
        <w:t xml:space="preserve">Archaeological</w:t>
      </w:r>
      <w:r>
        <w:t xml:space="preserve"> </w:t>
      </w:r>
      <w:r>
        <w:t xml:space="preserve">Repositories</w:t>
      </w:r>
      <w:r>
        <w:t xml:space="preserve">:</w:t>
      </w:r>
      <w:r>
        <w:t xml:space="preserve"> </w:t>
      </w:r>
      <w:r>
        <w:t xml:space="preserve">tDAR</w:t>
      </w:r>
      <w:r>
        <w:t xml:space="preserve"> </w:t>
      </w:r>
      <w:r>
        <w:t xml:space="preserve">Versus</w:t>
      </w:r>
      <w:r>
        <w:t xml:space="preserve"> </w:t>
      </w:r>
      <w:r>
        <w:t xml:space="preserve">Open</w:t>
      </w:r>
      <w:r>
        <w:t xml:space="preserve"> </w:t>
      </w:r>
      <w:r>
        <w:t xml:space="preserve">Context</w:t>
      </w:r>
      <w:r>
        <w:t xml:space="preserve">. Behavioral &amp; Social Sciences Librarian 34:173–213.</w:t>
      </w:r>
      <w:r>
        <w:t xml:space="preserve"> </w:t>
      </w:r>
      <w:hyperlink r:id="rId249">
        <w:r>
          <w:rPr>
            <w:rStyle w:val="Hyperlink"/>
          </w:rPr>
          <w:t xml:space="preserve">https://doi.org/10.1080/01639269.2015.1096155</w:t>
        </w:r>
      </w:hyperlink>
    </w:p>
    <w:bookmarkEnd w:id="250"/>
    <w:bookmarkStart w:id="252"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51">
        <w:r>
          <w:rPr>
            <w:rStyle w:val="Hyperlink"/>
          </w:rPr>
          <w:t xml:space="preserve">https://doi.org/10.1029/2002GC000314</w:t>
        </w:r>
      </w:hyperlink>
    </w:p>
    <w:bookmarkEnd w:id="252"/>
    <w:bookmarkStart w:id="253"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53"/>
    <w:bookmarkStart w:id="255"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54">
        <w:r>
          <w:rPr>
            <w:rStyle w:val="Hyperlink"/>
          </w:rPr>
          <w:t xml:space="preserve">https://doi.org/10.1016/j.jasrep.2024.104910</w:t>
        </w:r>
      </w:hyperlink>
    </w:p>
    <w:bookmarkEnd w:id="255"/>
    <w:bookmarkStart w:id="257" w:name="ref-compositions"/>
    <w:p>
      <w:pPr>
        <w:pStyle w:val="Literaturverzeichnis"/>
      </w:pPr>
      <w:r>
        <w:t xml:space="preserve">van den Boogaart KG, Tolosana-Delgado R, Bren M</w:t>
      </w:r>
      <w:r>
        <w:t xml:space="preserve"> </w:t>
      </w:r>
      <w:r>
        <w:t xml:space="preserve">(2025)</w:t>
      </w:r>
      <w:r>
        <w:t xml:space="preserve"> </w:t>
      </w:r>
      <w:hyperlink r:id="rId256">
        <w:r>
          <w:rPr>
            <w:rStyle w:val="Hyperlink"/>
          </w:rPr>
          <w:t xml:space="preserve">Compositions: Compositional data analysis</w:t>
        </w:r>
      </w:hyperlink>
    </w:p>
    <w:bookmarkEnd w:id="257"/>
    <w:bookmarkStart w:id="259" w:name="ref-welti_common_2024"/>
    <w:p>
      <w:pPr>
        <w:pStyle w:val="Literaturverzeichnis"/>
      </w:pPr>
      <w:r>
        <w:t xml:space="preserve">Welti N, Flick L, Hawkins S, et al (2024)</w:t>
      </w:r>
      <w:r>
        <w:t xml:space="preserve"> </w:t>
      </w:r>
      <w:hyperlink r:id="rId258">
        <w:r>
          <w:rPr>
            <w:rStyle w:val="Hyperlink"/>
          </w:rPr>
          <w:t xml:space="preserve">A common standard template for representing stable isotope results and associated metadata</w:t>
        </w:r>
      </w:hyperlink>
    </w:p>
    <w:bookmarkEnd w:id="259"/>
    <w:bookmarkStart w:id="261" w:name="ref-ggplot2"/>
    <w:p>
      <w:pPr>
        <w:pStyle w:val="Literaturverzeichnis"/>
      </w:pPr>
      <w:r>
        <w:t xml:space="preserve">Wickham H (2016)</w:t>
      </w:r>
      <w:r>
        <w:t xml:space="preserve"> </w:t>
      </w:r>
      <w:hyperlink r:id="rId260">
        <w:r>
          <w:rPr>
            <w:rStyle w:val="Hyperlink"/>
          </w:rPr>
          <w:t xml:space="preserve">ggplot2: Elegant graphics for data analysis</w:t>
        </w:r>
      </w:hyperlink>
      <w:r>
        <w:t xml:space="preserve">. Springer-Verlag New York</w:t>
      </w:r>
    </w:p>
    <w:bookmarkEnd w:id="261"/>
    <w:bookmarkStart w:id="263"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62">
        <w:r>
          <w:rPr>
            <w:rStyle w:val="Hyperlink"/>
          </w:rPr>
          <w:t xml:space="preserve">https://doi.org/10.1038/sdata.2016.18</w:t>
        </w:r>
      </w:hyperlink>
    </w:p>
    <w:bookmarkEnd w:id="263"/>
    <w:bookmarkStart w:id="265" w:name="ref-knitr1"/>
    <w:p>
      <w:pPr>
        <w:pStyle w:val="Literaturverzeichnis"/>
      </w:pPr>
      <w:r>
        <w:t xml:space="preserve">Xie Y (2015)</w:t>
      </w:r>
      <w:r>
        <w:t xml:space="preserve"> </w:t>
      </w:r>
      <w:hyperlink r:id="rId264">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65"/>
    <w:bookmarkStart w:id="266"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66"/>
    <w:bookmarkStart w:id="268" w:name="ref-rmarkdown1"/>
    <w:p>
      <w:pPr>
        <w:pStyle w:val="Literaturverzeichnis"/>
      </w:pPr>
      <w:r>
        <w:t xml:space="preserve">Xie Y, Allaire JJ, Grolemund G (2018)</w:t>
      </w:r>
      <w:r>
        <w:t xml:space="preserve"> </w:t>
      </w:r>
      <w:hyperlink r:id="rId267">
        <w:r>
          <w:rPr>
            <w:rStyle w:val="Hyperlink"/>
          </w:rPr>
          <w:t xml:space="preserve">R markdown: The definitive guide</w:t>
        </w:r>
      </w:hyperlink>
      <w:r>
        <w:t xml:space="preserve">. Chapman; Hall/CRC, Boca Raton, Florida</w:t>
      </w:r>
    </w:p>
    <w:bookmarkEnd w:id="268"/>
    <w:bookmarkStart w:id="270" w:name="ref-rmarkdown2"/>
    <w:p>
      <w:pPr>
        <w:pStyle w:val="Literaturverzeichnis"/>
      </w:pPr>
      <w:r>
        <w:t xml:space="preserve">Xie Y, Dervieux C, Riederer E (2020)</w:t>
      </w:r>
      <w:r>
        <w:t xml:space="preserve"> </w:t>
      </w:r>
      <w:hyperlink r:id="rId269">
        <w:r>
          <w:rPr>
            <w:rStyle w:val="Hyperlink"/>
          </w:rPr>
          <w:t xml:space="preserve">R markdown cookbook</w:t>
        </w:r>
      </w:hyperlink>
      <w:r>
        <w:t xml:space="preserve">. Chapman; Hall/CRC, Boca Raton, Florida</w:t>
      </w:r>
    </w:p>
    <w:bookmarkEnd w:id="270"/>
    <w:bookmarkEnd w:id="271"/>
    <w:bookmarkEnd w:id="272"/>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8398313"/>
      <w:docPartObj>
        <w:docPartGallery w:val="Page Numbers (Bottom of Page)"/>
        <w:docPartUnique/>
      </w:docPartObj>
    </w:sdtPr>
    <w:sdtContent>
      <w:p w:rsidR="007B6B4D" w:rsidRDefault="00223392" w:rsidP="00DF1A7E">
        <w:pPr>
          <w:pStyle w:val="Fuzeile"/>
          <w:jc w:val="right"/>
        </w:pPr>
        <w:fldSimple w:instr=" PAGE   \* MERGEFORMAT ">
          <w:r w:rsidR="00506E88">
            <w:rPr>
              <w:noProof/>
            </w:rPr>
            <w:t>1</w:t>
          </w:r>
        </w:fldSimple>
      </w:p>
    </w:sdtContent>
  </w:sdt>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223392"/>
    <w:rsid w:val="00323135"/>
    <w:rsid w:val="00373DB5"/>
    <w:rsid w:val="00466888"/>
    <w:rsid w:val="004C579B"/>
    <w:rsid w:val="004E29B3"/>
    <w:rsid w:val="00506E88"/>
    <w:rsid w:val="00590D07"/>
    <w:rsid w:val="005A091B"/>
    <w:rsid w:val="00705E12"/>
    <w:rsid w:val="00784D58"/>
    <w:rsid w:val="007A575A"/>
    <w:rsid w:val="007B6B4D"/>
    <w:rsid w:val="00884F3F"/>
    <w:rsid w:val="008D6863"/>
    <w:rsid w:val="00970303"/>
    <w:rsid w:val="009F6EF0"/>
    <w:rsid w:val="00B86B75"/>
    <w:rsid w:val="00BC48D5"/>
    <w:rsid w:val="00C36279"/>
    <w:rsid w:val="00C40D01"/>
    <w:rsid w:val="00CD39AB"/>
    <w:rsid w:val="00D868D3"/>
    <w:rsid w:val="00DA425F"/>
    <w:rsid w:val="00DF1A7E"/>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5122"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footer" w:uiPriority="9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506E88"/>
    <w:rPr>
      <w:rFonts w:ascii="Times New Roman" w:hAnsi="Times New Roman"/>
    </w:rPr>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uiPriority w:val="99"/>
    <w:unhideWhenUsed/>
    <w:rsid w:val="007B6B4D"/>
    <w:pPr>
      <w:tabs>
        <w:tab w:pos="4513" w:val="center"/>
        <w:tab w:pos="9026" w:val="right"/>
      </w:tabs>
      <w:spacing w:after="0"/>
    </w:pPr>
  </w:style>
  <w:style w:customStyle="1" w:styleId="FuzeileZchn" w:type="character">
    <w:name w:val="Fußzeile Zchn"/>
    <w:basedOn w:val="Absatz-Standardschriftart"/>
    <w:link w:val="Fuzeile"/>
    <w:uiPriority w:val="99"/>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9" Target="media/rId69.tiff"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74" Target="media/rId74.png" /><Relationship Type="http://schemas.openxmlformats.org/officeDocument/2006/relationships/hyperlink" Id="rId145" Target="http://digital.library.wisc.edu/1793/92990" TargetMode="External" /><Relationship Type="http://schemas.openxmlformats.org/officeDocument/2006/relationships/hyperlink" Id="rId256" Target="http://www.stat.boogaart.de/compositions/" TargetMode="External" /><Relationship Type="http://schemas.openxmlformats.org/officeDocument/2006/relationships/hyperlink" Id="rId242" Target="https://archaeothommy.github.io/ASTR/" TargetMode="External" /><Relationship Type="http://schemas.openxmlformats.org/officeDocument/2006/relationships/hyperlink" Id="rId267" Target="https://bookdown.org/yihui/rmarkdown" TargetMode="External" /><Relationship Type="http://schemas.openxmlformats.org/officeDocument/2006/relationships/hyperlink" Id="rId269" Target="https://bookdown.org/yihui/rmarkdown-cookbook" TargetMode="External" /><Relationship Type="http://schemas.openxmlformats.org/officeDocument/2006/relationships/hyperlink" Id="rId137" Target="https://docs.ropensci.org/rcrossref/" TargetMode="External" /><Relationship Type="http://schemas.openxmlformats.org/officeDocument/2006/relationships/hyperlink" Id="rId153" Target="https://doi.org/10.1002/asi.23480" TargetMode="External" /><Relationship Type="http://schemas.openxmlformats.org/officeDocument/2006/relationships/hyperlink" Id="rId240" Target="https://doi.org/10.1002/rcm.8044" TargetMode="External" /><Relationship Type="http://schemas.openxmlformats.org/officeDocument/2006/relationships/hyperlink" Id="rId121" Target="https://doi.org/10.1002/sta4.332" TargetMode="External" /><Relationship Type="http://schemas.openxmlformats.org/officeDocument/2006/relationships/hyperlink" Id="rId216" Target="https://doi.org/10.1007/s10516-021-09610-2" TargetMode="External" /><Relationship Type="http://schemas.openxmlformats.org/officeDocument/2006/relationships/hyperlink" Id="rId201" Target="https://doi.org/10.1007/s10816-015-9272-9" TargetMode="External" /><Relationship Type="http://schemas.openxmlformats.org/officeDocument/2006/relationships/hyperlink" Id="rId222" Target="https://doi.org/10.1007/s10827-018-0702-z" TargetMode="External" /><Relationship Type="http://schemas.openxmlformats.org/officeDocument/2006/relationships/hyperlink" Id="rId197" Target="https://doi.org/10.1016/j.aia.2023.100027" TargetMode="External" /><Relationship Type="http://schemas.openxmlformats.org/officeDocument/2006/relationships/hyperlink" Id="rId181" Target="https://doi.org/10.1016/j.bpsgos.2023.08.007" TargetMode="External" /><Relationship Type="http://schemas.openxmlformats.org/officeDocument/2006/relationships/hyperlink" Id="rId143" Target="https://doi.org/10.1016/j.chemgeo.2003.08.003" TargetMode="External" /><Relationship Type="http://schemas.openxmlformats.org/officeDocument/2006/relationships/hyperlink" Id="rId220" Target="https://doi.org/10.1016/j.cortex.2020.04.019" TargetMode="External" /><Relationship Type="http://schemas.openxmlformats.org/officeDocument/2006/relationships/hyperlink" Id="rId189" Target="https://doi.org/10.1016/j.gca.2023.04.024" TargetMode="External" /><Relationship Type="http://schemas.openxmlformats.org/officeDocument/2006/relationships/hyperlink" Id="rId161" Target="https://doi.org/10.1016/j.jas.2009.10.004" TargetMode="External" /><Relationship Type="http://schemas.openxmlformats.org/officeDocument/2006/relationships/hyperlink" Id="rId203" Target="https://doi.org/10.1016/j.jas.2025.106281" TargetMode="External" /><Relationship Type="http://schemas.openxmlformats.org/officeDocument/2006/relationships/hyperlink" Id="rId139" Target="https://doi.org/10.1016/j.jas.2025.106295" TargetMode="External" /><Relationship Type="http://schemas.openxmlformats.org/officeDocument/2006/relationships/hyperlink" Id="rId149" Target="https://doi.org/10.1016/j.jas.2025.106338" TargetMode="External" /><Relationship Type="http://schemas.openxmlformats.org/officeDocument/2006/relationships/hyperlink" Id="rId195" Target="https://doi.org/10.1016/j.jas.2025.106432" TargetMode="External" /><Relationship Type="http://schemas.openxmlformats.org/officeDocument/2006/relationships/hyperlink" Id="rId224" Target="https://doi.org/10.1016/j.jasrep.2021.103188" TargetMode="External" /><Relationship Type="http://schemas.openxmlformats.org/officeDocument/2006/relationships/hyperlink" Id="rId183" Target="https://doi.org/10.1016/j.jasrep.2022.103788" TargetMode="External" /><Relationship Type="http://schemas.openxmlformats.org/officeDocument/2006/relationships/hyperlink" Id="rId254" Target="https://doi.org/10.1016/j.jasrep.2024.104910" TargetMode="External" /><Relationship Type="http://schemas.openxmlformats.org/officeDocument/2006/relationships/hyperlink" Id="rId117" Target="https://doi.org/10.1017/RDC.2019.55" TargetMode="External" /><Relationship Type="http://schemas.openxmlformats.org/officeDocument/2006/relationships/hyperlink" Id="rId173" Target="https://doi.org/10.1017/aap.2018.1" TargetMode="External" /><Relationship Type="http://schemas.openxmlformats.org/officeDocument/2006/relationships/hyperlink" Id="rId206" Target="https://doi.org/10.1017/aap.2018.3" TargetMode="External" /><Relationship Type="http://schemas.openxmlformats.org/officeDocument/2006/relationships/hyperlink" Id="rId228" Target="https://doi.org/10.1017/aap.2022.40" TargetMode="External" /><Relationship Type="http://schemas.openxmlformats.org/officeDocument/2006/relationships/hyperlink" Id="rId169" Target="https://doi.org/10.1017/aap.2022.41" TargetMode="External" /><Relationship Type="http://schemas.openxmlformats.org/officeDocument/2006/relationships/hyperlink" Id="rId107" Target="https://doi.org/10.1017/aap.2023.38" TargetMode="External" /><Relationship Type="http://schemas.openxmlformats.org/officeDocument/2006/relationships/hyperlink" Id="rId175" Target="https://doi.org/10.1017/aap.2024.6" TargetMode="External" /><Relationship Type="http://schemas.openxmlformats.org/officeDocument/2006/relationships/hyperlink" Id="rId251" Target="https://doi.org/10.1029/2002GC000314" TargetMode="External" /><Relationship Type="http://schemas.openxmlformats.org/officeDocument/2006/relationships/hyperlink" Id="rId147" Target="https://doi.org/10.1038/s41386-024-01973-5" TargetMode="External" /><Relationship Type="http://schemas.openxmlformats.org/officeDocument/2006/relationships/hyperlink" Id="rId112" Target="https://doi.org/10.1038/s41597-022-01710-x" TargetMode="External" /><Relationship Type="http://schemas.openxmlformats.org/officeDocument/2006/relationships/hyperlink" Id="rId135" Target="https://doi.org/10.1038/s43017-021-00237-w" TargetMode="External" /><Relationship Type="http://schemas.openxmlformats.org/officeDocument/2006/relationships/hyperlink" Id="rId244" Target="https://doi.org/10.1038/s44271-025-00236-3" TargetMode="External" /><Relationship Type="http://schemas.openxmlformats.org/officeDocument/2006/relationships/hyperlink" Id="rId262" Target="https://doi.org/10.1038/sdata.2016.18" TargetMode="External" /><Relationship Type="http://schemas.openxmlformats.org/officeDocument/2006/relationships/hyperlink" Id="rId234" Target="https://doi.org/10.1046/j.1475-4754.2003.00130.x" TargetMode="External" /><Relationship Type="http://schemas.openxmlformats.org/officeDocument/2006/relationships/hyperlink" Id="rId177" Target="https://doi.org/10.1073/pnas.2109313118" TargetMode="External" /><Relationship Type="http://schemas.openxmlformats.org/officeDocument/2006/relationships/hyperlink" Id="rId208" Target="https://doi.org/10.1080/00031305.2017.1375986" TargetMode="External" /><Relationship Type="http://schemas.openxmlformats.org/officeDocument/2006/relationships/hyperlink" Id="rId249" Target="https://doi.org/10.1080/01639269.2015.1096155" TargetMode="External" /><Relationship Type="http://schemas.openxmlformats.org/officeDocument/2006/relationships/hyperlink" Id="rId115" Target="https://doi.org/10.1080/02664769822891" TargetMode="External" /><Relationship Type="http://schemas.openxmlformats.org/officeDocument/2006/relationships/hyperlink" Id="rId193" Target="https://doi.org/10.1080/13658816.2018.1508687" TargetMode="External" /><Relationship Type="http://schemas.openxmlformats.org/officeDocument/2006/relationships/hyperlink" Id="rId163" Target="https://doi.org/10.1086/adx.29.1.27949541" TargetMode="External" /><Relationship Type="http://schemas.openxmlformats.org/officeDocument/2006/relationships/hyperlink" Id="rId127" Target="https://doi.org/10.1093/gigascience/giaa056" TargetMode="External" /><Relationship Type="http://schemas.openxmlformats.org/officeDocument/2006/relationships/hyperlink" Id="rId246" Target="https://doi.org/10.1093/gigascience/giad113" TargetMode="External" /><Relationship Type="http://schemas.openxmlformats.org/officeDocument/2006/relationships/hyperlink" Id="rId129" Target="https://doi.org/10.1093/gji/ggz246" TargetMode="External" /><Relationship Type="http://schemas.openxmlformats.org/officeDocument/2006/relationships/hyperlink" Id="rId185" Target="https://doi.org/10.1101/2022.04.07.487439" TargetMode="External" /><Relationship Type="http://schemas.openxmlformats.org/officeDocument/2006/relationships/hyperlink" Id="rId191" Target="https://doi.org/10.1101/866301" TargetMode="External" /><Relationship Type="http://schemas.openxmlformats.org/officeDocument/2006/relationships/hyperlink" Id="rId167" Target="https://doi.org/10.1111/arcm.12282" TargetMode="External" /><Relationship Type="http://schemas.openxmlformats.org/officeDocument/2006/relationships/hyperlink" Id="rId171" Target="https://doi.org/10.1111/arcm.12347" TargetMode="External" /><Relationship Type="http://schemas.openxmlformats.org/officeDocument/2006/relationships/hyperlink" Id="rId165" Target="https://doi.org/10.1111/arcm.12488" TargetMode="External" /><Relationship Type="http://schemas.openxmlformats.org/officeDocument/2006/relationships/hyperlink" Id="rId199" Target="https://doi.org/10.1111/j.1475-4754.2010.00585.x" TargetMode="External" /><Relationship Type="http://schemas.openxmlformats.org/officeDocument/2006/relationships/hyperlink" Id="rId157" Target="https://doi.org/10.1111/nyas.13325" TargetMode="External" /><Relationship Type="http://schemas.openxmlformats.org/officeDocument/2006/relationships/hyperlink" Id="rId131" Target="https://doi.org/10.1126/science.aaf0918" TargetMode="External" /><Relationship Type="http://schemas.openxmlformats.org/officeDocument/2006/relationships/hyperlink" Id="rId105" Target="https://doi.org/10.1140/epjp/s13360-025-06473-z" TargetMode="External" /><Relationship Type="http://schemas.openxmlformats.org/officeDocument/2006/relationships/hyperlink" Id="rId151" Target="https://doi.org/10.1145/2467696.2467712" TargetMode="External" /><Relationship Type="http://schemas.openxmlformats.org/officeDocument/2006/relationships/hyperlink" Id="rId218" Target="https://doi.org/10.11588/AI.2015.1.26162" TargetMode="External" /><Relationship Type="http://schemas.openxmlformats.org/officeDocument/2006/relationships/hyperlink" Id="rId119" Target="https://doi.org/10.1161/CIRCRESAHA.114.303819" TargetMode="External" /><Relationship Type="http://schemas.openxmlformats.org/officeDocument/2006/relationships/hyperlink" Id="rId155" Target="https://doi.org/10.1287/mnsc.2023.03556" TargetMode="External" /><Relationship Type="http://schemas.openxmlformats.org/officeDocument/2006/relationships/hyperlink" Id="rId99" Target="https://doi.org/10.1371/journal.pbio.3002815" TargetMode="External" /><Relationship Type="http://schemas.openxmlformats.org/officeDocument/2006/relationships/hyperlink" Id="rId230" Target="https://doi.org/10.1371/journal.pcbi.1008316" TargetMode="External" /><Relationship Type="http://schemas.openxmlformats.org/officeDocument/2006/relationships/hyperlink" Id="rId123" Target="https://doi.org/10.1371/journal.pone.0297931" TargetMode="External" /><Relationship Type="http://schemas.openxmlformats.org/officeDocument/2006/relationships/hyperlink" Id="rId179" Target="https://doi.org/10.14237/ebl.6.2.2015.467" TargetMode="External" /><Relationship Type="http://schemas.openxmlformats.org/officeDocument/2006/relationships/hyperlink" Id="rId187" Target="https://doi.org/10.1523/ENEURO.0215-22.2023" TargetMode="External" /><Relationship Type="http://schemas.openxmlformats.org/officeDocument/2006/relationships/hyperlink" Id="rId159" Target="https://doi.org/10.1594/IEDA/100426" TargetMode="External" /><Relationship Type="http://schemas.openxmlformats.org/officeDocument/2006/relationships/hyperlink" Id="rId141" Target="https://doi.org/10.2218/ijdc.v11i1.401" TargetMode="External" /><Relationship Type="http://schemas.openxmlformats.org/officeDocument/2006/relationships/hyperlink" Id="rId258" Target="https://doi.org/10.25919/0E5M-Q876" TargetMode="External" /><Relationship Type="http://schemas.openxmlformats.org/officeDocument/2006/relationships/hyperlink" Id="rId133" Target="https://doi.org/10.26186/149408" TargetMode="External" /><Relationship Type="http://schemas.openxmlformats.org/officeDocument/2006/relationships/hyperlink" Id="rId125" Target="https://doi.org/10.32614/CRAN.package.workflowr" TargetMode="External" /><Relationship Type="http://schemas.openxmlformats.org/officeDocument/2006/relationships/hyperlink" Id="rId232" Target="https://doi.org/10.3389/fninf.2017.00076" TargetMode="External" /><Relationship Type="http://schemas.openxmlformats.org/officeDocument/2006/relationships/hyperlink" Id="rId226" Target="https://doi.org/10.3389/fninf.2018.00018" TargetMode="External" /><Relationship Type="http://schemas.openxmlformats.org/officeDocument/2006/relationships/hyperlink" Id="rId110" Target="https://doi.org/10.48550/arXiv.1802.03311" TargetMode="External" /><Relationship Type="http://schemas.openxmlformats.org/officeDocument/2006/relationships/hyperlink" Id="rId214" Target="https://doi.org/10.52294/001c.143700" TargetMode="External" /><Relationship Type="http://schemas.openxmlformats.org/officeDocument/2006/relationships/hyperlink" Id="rId103" Target="https://doi.org/10.5281/zenodo.5960048" TargetMode="External" /><Relationship Type="http://schemas.openxmlformats.org/officeDocument/2006/relationships/hyperlink" Id="rId101" Target="https://doi.org/10.5465/annals.2016.0011" TargetMode="External" /><Relationship Type="http://schemas.openxmlformats.org/officeDocument/2006/relationships/hyperlink" Id="rId210" Target="https://doi.org/10.64628/AAI.6vrtn4uw3" TargetMode="External" /><Relationship Type="http://schemas.openxmlformats.org/officeDocument/2006/relationships/hyperlink" Id="rId260" Target="https://ggplot2.tidyverse.org" TargetMode="External" /><Relationship Type="http://schemas.openxmlformats.org/officeDocument/2006/relationships/hyperlink" Id="rId94" Target="https://github.com/archaeothommy/ReproducibilityArchaeometallurgy" TargetMode="External" /><Relationship Type="http://schemas.openxmlformats.org/officeDocument/2006/relationships/hyperlink" Id="rId212" Target="https://github.com/benmarwick/rrtools" TargetMode="External" /><Relationship Type="http://schemas.openxmlformats.org/officeDocument/2006/relationships/hyperlink" Id="rId236" Target="https://www.R-project.org/" TargetMode="External" /><Relationship Type="http://schemas.openxmlformats.org/officeDocument/2006/relationships/hyperlink" Id="rId238" Target="https://www.archcalc.cnr.it/journal/articles/501" TargetMode="External" /><Relationship Type="http://schemas.openxmlformats.org/officeDocument/2006/relationships/hyperlink" Id="rId83" Target="https://www.protocols.io/" TargetMode="External" /><Relationship Type="http://schemas.openxmlformats.org/officeDocument/2006/relationships/hyperlink" Id="rId264"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45" Target="http://digital.library.wisc.edu/1793/92990" TargetMode="External" /><Relationship Type="http://schemas.openxmlformats.org/officeDocument/2006/relationships/hyperlink" Id="rId256" Target="http://www.stat.boogaart.de/compositions/" TargetMode="External" /><Relationship Type="http://schemas.openxmlformats.org/officeDocument/2006/relationships/hyperlink" Id="rId242" Target="https://archaeothommy.github.io/ASTR/" TargetMode="External" /><Relationship Type="http://schemas.openxmlformats.org/officeDocument/2006/relationships/hyperlink" Id="rId267" Target="https://bookdown.org/yihui/rmarkdown" TargetMode="External" /><Relationship Type="http://schemas.openxmlformats.org/officeDocument/2006/relationships/hyperlink" Id="rId269" Target="https://bookdown.org/yihui/rmarkdown-cookbook" TargetMode="External" /><Relationship Type="http://schemas.openxmlformats.org/officeDocument/2006/relationships/hyperlink" Id="rId137" Target="https://docs.ropensci.org/rcrossref/" TargetMode="External" /><Relationship Type="http://schemas.openxmlformats.org/officeDocument/2006/relationships/hyperlink" Id="rId153" Target="https://doi.org/10.1002/asi.23480" TargetMode="External" /><Relationship Type="http://schemas.openxmlformats.org/officeDocument/2006/relationships/hyperlink" Id="rId240" Target="https://doi.org/10.1002/rcm.8044" TargetMode="External" /><Relationship Type="http://schemas.openxmlformats.org/officeDocument/2006/relationships/hyperlink" Id="rId121" Target="https://doi.org/10.1002/sta4.332" TargetMode="External" /><Relationship Type="http://schemas.openxmlformats.org/officeDocument/2006/relationships/hyperlink" Id="rId216" Target="https://doi.org/10.1007/s10516-021-09610-2" TargetMode="External" /><Relationship Type="http://schemas.openxmlformats.org/officeDocument/2006/relationships/hyperlink" Id="rId201" Target="https://doi.org/10.1007/s10816-015-9272-9" TargetMode="External" /><Relationship Type="http://schemas.openxmlformats.org/officeDocument/2006/relationships/hyperlink" Id="rId222" Target="https://doi.org/10.1007/s10827-018-0702-z" TargetMode="External" /><Relationship Type="http://schemas.openxmlformats.org/officeDocument/2006/relationships/hyperlink" Id="rId197" Target="https://doi.org/10.1016/j.aia.2023.100027" TargetMode="External" /><Relationship Type="http://schemas.openxmlformats.org/officeDocument/2006/relationships/hyperlink" Id="rId181" Target="https://doi.org/10.1016/j.bpsgos.2023.08.007" TargetMode="External" /><Relationship Type="http://schemas.openxmlformats.org/officeDocument/2006/relationships/hyperlink" Id="rId143" Target="https://doi.org/10.1016/j.chemgeo.2003.08.003" TargetMode="External" /><Relationship Type="http://schemas.openxmlformats.org/officeDocument/2006/relationships/hyperlink" Id="rId220" Target="https://doi.org/10.1016/j.cortex.2020.04.019" TargetMode="External" /><Relationship Type="http://schemas.openxmlformats.org/officeDocument/2006/relationships/hyperlink" Id="rId189" Target="https://doi.org/10.1016/j.gca.2023.04.024" TargetMode="External" /><Relationship Type="http://schemas.openxmlformats.org/officeDocument/2006/relationships/hyperlink" Id="rId161" Target="https://doi.org/10.1016/j.jas.2009.10.004" TargetMode="External" /><Relationship Type="http://schemas.openxmlformats.org/officeDocument/2006/relationships/hyperlink" Id="rId203" Target="https://doi.org/10.1016/j.jas.2025.106281" TargetMode="External" /><Relationship Type="http://schemas.openxmlformats.org/officeDocument/2006/relationships/hyperlink" Id="rId139" Target="https://doi.org/10.1016/j.jas.2025.106295" TargetMode="External" /><Relationship Type="http://schemas.openxmlformats.org/officeDocument/2006/relationships/hyperlink" Id="rId149" Target="https://doi.org/10.1016/j.jas.2025.106338" TargetMode="External" /><Relationship Type="http://schemas.openxmlformats.org/officeDocument/2006/relationships/hyperlink" Id="rId195" Target="https://doi.org/10.1016/j.jas.2025.106432" TargetMode="External" /><Relationship Type="http://schemas.openxmlformats.org/officeDocument/2006/relationships/hyperlink" Id="rId224" Target="https://doi.org/10.1016/j.jasrep.2021.103188" TargetMode="External" /><Relationship Type="http://schemas.openxmlformats.org/officeDocument/2006/relationships/hyperlink" Id="rId183" Target="https://doi.org/10.1016/j.jasrep.2022.103788" TargetMode="External" /><Relationship Type="http://schemas.openxmlformats.org/officeDocument/2006/relationships/hyperlink" Id="rId254" Target="https://doi.org/10.1016/j.jasrep.2024.104910" TargetMode="External" /><Relationship Type="http://schemas.openxmlformats.org/officeDocument/2006/relationships/hyperlink" Id="rId117" Target="https://doi.org/10.1017/RDC.2019.55" TargetMode="External" /><Relationship Type="http://schemas.openxmlformats.org/officeDocument/2006/relationships/hyperlink" Id="rId173" Target="https://doi.org/10.1017/aap.2018.1" TargetMode="External" /><Relationship Type="http://schemas.openxmlformats.org/officeDocument/2006/relationships/hyperlink" Id="rId206" Target="https://doi.org/10.1017/aap.2018.3" TargetMode="External" /><Relationship Type="http://schemas.openxmlformats.org/officeDocument/2006/relationships/hyperlink" Id="rId228" Target="https://doi.org/10.1017/aap.2022.40" TargetMode="External" /><Relationship Type="http://schemas.openxmlformats.org/officeDocument/2006/relationships/hyperlink" Id="rId169" Target="https://doi.org/10.1017/aap.2022.41" TargetMode="External" /><Relationship Type="http://schemas.openxmlformats.org/officeDocument/2006/relationships/hyperlink" Id="rId107" Target="https://doi.org/10.1017/aap.2023.38" TargetMode="External" /><Relationship Type="http://schemas.openxmlformats.org/officeDocument/2006/relationships/hyperlink" Id="rId175" Target="https://doi.org/10.1017/aap.2024.6" TargetMode="External" /><Relationship Type="http://schemas.openxmlformats.org/officeDocument/2006/relationships/hyperlink" Id="rId251" Target="https://doi.org/10.1029/2002GC000314" TargetMode="External" /><Relationship Type="http://schemas.openxmlformats.org/officeDocument/2006/relationships/hyperlink" Id="rId147" Target="https://doi.org/10.1038/s41386-024-01973-5" TargetMode="External" /><Relationship Type="http://schemas.openxmlformats.org/officeDocument/2006/relationships/hyperlink" Id="rId112" Target="https://doi.org/10.1038/s41597-022-01710-x" TargetMode="External" /><Relationship Type="http://schemas.openxmlformats.org/officeDocument/2006/relationships/hyperlink" Id="rId135" Target="https://doi.org/10.1038/s43017-021-00237-w" TargetMode="External" /><Relationship Type="http://schemas.openxmlformats.org/officeDocument/2006/relationships/hyperlink" Id="rId244" Target="https://doi.org/10.1038/s44271-025-00236-3" TargetMode="External" /><Relationship Type="http://schemas.openxmlformats.org/officeDocument/2006/relationships/hyperlink" Id="rId262" Target="https://doi.org/10.1038/sdata.2016.18" TargetMode="External" /><Relationship Type="http://schemas.openxmlformats.org/officeDocument/2006/relationships/hyperlink" Id="rId234" Target="https://doi.org/10.1046/j.1475-4754.2003.00130.x" TargetMode="External" /><Relationship Type="http://schemas.openxmlformats.org/officeDocument/2006/relationships/hyperlink" Id="rId177" Target="https://doi.org/10.1073/pnas.2109313118" TargetMode="External" /><Relationship Type="http://schemas.openxmlformats.org/officeDocument/2006/relationships/hyperlink" Id="rId208" Target="https://doi.org/10.1080/00031305.2017.1375986" TargetMode="External" /><Relationship Type="http://schemas.openxmlformats.org/officeDocument/2006/relationships/hyperlink" Id="rId249" Target="https://doi.org/10.1080/01639269.2015.1096155" TargetMode="External" /><Relationship Type="http://schemas.openxmlformats.org/officeDocument/2006/relationships/hyperlink" Id="rId115" Target="https://doi.org/10.1080/02664769822891" TargetMode="External" /><Relationship Type="http://schemas.openxmlformats.org/officeDocument/2006/relationships/hyperlink" Id="rId193" Target="https://doi.org/10.1080/13658816.2018.1508687" TargetMode="External" /><Relationship Type="http://schemas.openxmlformats.org/officeDocument/2006/relationships/hyperlink" Id="rId163" Target="https://doi.org/10.1086/adx.29.1.27949541" TargetMode="External" /><Relationship Type="http://schemas.openxmlformats.org/officeDocument/2006/relationships/hyperlink" Id="rId127" Target="https://doi.org/10.1093/gigascience/giaa056" TargetMode="External" /><Relationship Type="http://schemas.openxmlformats.org/officeDocument/2006/relationships/hyperlink" Id="rId246" Target="https://doi.org/10.1093/gigascience/giad113" TargetMode="External" /><Relationship Type="http://schemas.openxmlformats.org/officeDocument/2006/relationships/hyperlink" Id="rId129" Target="https://doi.org/10.1093/gji/ggz246" TargetMode="External" /><Relationship Type="http://schemas.openxmlformats.org/officeDocument/2006/relationships/hyperlink" Id="rId185" Target="https://doi.org/10.1101/2022.04.07.487439" TargetMode="External" /><Relationship Type="http://schemas.openxmlformats.org/officeDocument/2006/relationships/hyperlink" Id="rId191" Target="https://doi.org/10.1101/866301" TargetMode="External" /><Relationship Type="http://schemas.openxmlformats.org/officeDocument/2006/relationships/hyperlink" Id="rId167" Target="https://doi.org/10.1111/arcm.12282" TargetMode="External" /><Relationship Type="http://schemas.openxmlformats.org/officeDocument/2006/relationships/hyperlink" Id="rId171" Target="https://doi.org/10.1111/arcm.12347" TargetMode="External" /><Relationship Type="http://schemas.openxmlformats.org/officeDocument/2006/relationships/hyperlink" Id="rId165" Target="https://doi.org/10.1111/arcm.12488" TargetMode="External" /><Relationship Type="http://schemas.openxmlformats.org/officeDocument/2006/relationships/hyperlink" Id="rId199" Target="https://doi.org/10.1111/j.1475-4754.2010.00585.x" TargetMode="External" /><Relationship Type="http://schemas.openxmlformats.org/officeDocument/2006/relationships/hyperlink" Id="rId157" Target="https://doi.org/10.1111/nyas.13325" TargetMode="External" /><Relationship Type="http://schemas.openxmlformats.org/officeDocument/2006/relationships/hyperlink" Id="rId131" Target="https://doi.org/10.1126/science.aaf0918" TargetMode="External" /><Relationship Type="http://schemas.openxmlformats.org/officeDocument/2006/relationships/hyperlink" Id="rId105" Target="https://doi.org/10.1140/epjp/s13360-025-06473-z" TargetMode="External" /><Relationship Type="http://schemas.openxmlformats.org/officeDocument/2006/relationships/hyperlink" Id="rId151" Target="https://doi.org/10.1145/2467696.2467712" TargetMode="External" /><Relationship Type="http://schemas.openxmlformats.org/officeDocument/2006/relationships/hyperlink" Id="rId218" Target="https://doi.org/10.11588/AI.2015.1.26162" TargetMode="External" /><Relationship Type="http://schemas.openxmlformats.org/officeDocument/2006/relationships/hyperlink" Id="rId119" Target="https://doi.org/10.1161/CIRCRESAHA.114.303819" TargetMode="External" /><Relationship Type="http://schemas.openxmlformats.org/officeDocument/2006/relationships/hyperlink" Id="rId155" Target="https://doi.org/10.1287/mnsc.2023.03556" TargetMode="External" /><Relationship Type="http://schemas.openxmlformats.org/officeDocument/2006/relationships/hyperlink" Id="rId99" Target="https://doi.org/10.1371/journal.pbio.3002815" TargetMode="External" /><Relationship Type="http://schemas.openxmlformats.org/officeDocument/2006/relationships/hyperlink" Id="rId230" Target="https://doi.org/10.1371/journal.pcbi.1008316" TargetMode="External" /><Relationship Type="http://schemas.openxmlformats.org/officeDocument/2006/relationships/hyperlink" Id="rId123" Target="https://doi.org/10.1371/journal.pone.0297931" TargetMode="External" /><Relationship Type="http://schemas.openxmlformats.org/officeDocument/2006/relationships/hyperlink" Id="rId179" Target="https://doi.org/10.14237/ebl.6.2.2015.467" TargetMode="External" /><Relationship Type="http://schemas.openxmlformats.org/officeDocument/2006/relationships/hyperlink" Id="rId187" Target="https://doi.org/10.1523/ENEURO.0215-22.2023" TargetMode="External" /><Relationship Type="http://schemas.openxmlformats.org/officeDocument/2006/relationships/hyperlink" Id="rId159" Target="https://doi.org/10.1594/IEDA/100426" TargetMode="External" /><Relationship Type="http://schemas.openxmlformats.org/officeDocument/2006/relationships/hyperlink" Id="rId141" Target="https://doi.org/10.2218/ijdc.v11i1.401" TargetMode="External" /><Relationship Type="http://schemas.openxmlformats.org/officeDocument/2006/relationships/hyperlink" Id="rId258" Target="https://doi.org/10.25919/0E5M-Q876" TargetMode="External" /><Relationship Type="http://schemas.openxmlformats.org/officeDocument/2006/relationships/hyperlink" Id="rId133" Target="https://doi.org/10.26186/149408" TargetMode="External" /><Relationship Type="http://schemas.openxmlformats.org/officeDocument/2006/relationships/hyperlink" Id="rId125" Target="https://doi.org/10.32614/CRAN.package.workflowr" TargetMode="External" /><Relationship Type="http://schemas.openxmlformats.org/officeDocument/2006/relationships/hyperlink" Id="rId232" Target="https://doi.org/10.3389/fninf.2017.00076" TargetMode="External" /><Relationship Type="http://schemas.openxmlformats.org/officeDocument/2006/relationships/hyperlink" Id="rId226" Target="https://doi.org/10.3389/fninf.2018.00018" TargetMode="External" /><Relationship Type="http://schemas.openxmlformats.org/officeDocument/2006/relationships/hyperlink" Id="rId110" Target="https://doi.org/10.48550/arXiv.1802.03311" TargetMode="External" /><Relationship Type="http://schemas.openxmlformats.org/officeDocument/2006/relationships/hyperlink" Id="rId214" Target="https://doi.org/10.52294/001c.143700" TargetMode="External" /><Relationship Type="http://schemas.openxmlformats.org/officeDocument/2006/relationships/hyperlink" Id="rId103" Target="https://doi.org/10.5281/zenodo.5960048" TargetMode="External" /><Relationship Type="http://schemas.openxmlformats.org/officeDocument/2006/relationships/hyperlink" Id="rId101" Target="https://doi.org/10.5465/annals.2016.0011" TargetMode="External" /><Relationship Type="http://schemas.openxmlformats.org/officeDocument/2006/relationships/hyperlink" Id="rId210" Target="https://doi.org/10.64628/AAI.6vrtn4uw3" TargetMode="External" /><Relationship Type="http://schemas.openxmlformats.org/officeDocument/2006/relationships/hyperlink" Id="rId260" Target="https://ggplot2.tidyverse.org" TargetMode="External" /><Relationship Type="http://schemas.openxmlformats.org/officeDocument/2006/relationships/hyperlink" Id="rId94" Target="https://github.com/archaeothommy/ReproducibilityArchaeometallurgy" TargetMode="External" /><Relationship Type="http://schemas.openxmlformats.org/officeDocument/2006/relationships/hyperlink" Id="rId212" Target="https://github.com/benmarwick/rrtools" TargetMode="External" /><Relationship Type="http://schemas.openxmlformats.org/officeDocument/2006/relationships/hyperlink" Id="rId236" Target="https://www.R-project.org/" TargetMode="External" /><Relationship Type="http://schemas.openxmlformats.org/officeDocument/2006/relationships/hyperlink" Id="rId238" Target="https://www.archcalc.cnr.it/journal/articles/501" TargetMode="External" /><Relationship Type="http://schemas.openxmlformats.org/officeDocument/2006/relationships/hyperlink" Id="rId83" Target="https://www.protocols.io/" TargetMode="External" /><Relationship Type="http://schemas.openxmlformats.org/officeDocument/2006/relationships/hyperlink" Id="rId264"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2026-06-22T00:12:44Z</dcterms:created>
  <dcterms:modified xsi:type="dcterms:W3CDTF">2026-06-22T00:12:44Z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21,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