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69.tiff" ContentType="image/tiff"/>
  <Override PartName="/word/media/rId50.png" ContentType="image/png"/>
  <Override PartName="/word/media/rId46.png" ContentType="image/png"/>
  <Override PartName="/word/media/rId7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el"/>
      </w:pPr>
      <w:r>
        <w:t xml:space="preserve">The bare necessities: Improving data quality in archaeometallurgy through reproducibility</w:t>
      </w:r>
    </w:p>
    <w:p>
      <w:pPr>
        <w:pStyle w:val="Author"/>
      </w:pPr>
      <w:r>
        <w:t xml:space="preserve">Berber S. van der Meulen-van der Veen</w:t>
      </w:r>
    </w:p>
    <w:p>
      <w:pPr>
        <w:pStyle w:val="Author"/>
      </w:pPr>
      <w:r>
        <w:t xml:space="preserve">Thomas Rose</w:t>
      </w:r>
    </w:p>
    <w:p>
      <w:pPr>
        <w:pStyle w:val="Datum"/>
      </w:pPr>
      <w:r>
        <w:t xml:space="preserve">June 21, 2026</w:t>
      </w:r>
    </w:p>
    <w:p>
      <w:pPr>
        <w:pStyle w:val="FirstParagraph"/>
      </w:pPr>
      <w:r>
        <w:t xml:space="preserve">Berber S. van der Meulen-van der Veen</w:t>
      </w:r>
      <w:r>
        <w:rPr>
          <w:vertAlign w:val="superscript"/>
        </w:rPr>
        <w:t xml:space="preserve">1,2</w:t>
      </w:r>
      <w:r>
        <w:t xml:space="preserve">* (0000-0001-5297-0269), Thomas Rose</w:t>
      </w:r>
      <w:r>
        <w:rPr>
          <w:vertAlign w:val="superscript"/>
        </w:rPr>
        <w:t xml:space="preserve">3,2</w:t>
      </w:r>
      <w:r>
        <w:t xml:space="preserve"> </w:t>
      </w:r>
      <w:r>
        <w:t xml:space="preserve">(0000-0002-8186-3566)</w:t>
      </w:r>
    </w:p>
    <w:p>
      <w:pPr>
        <w:pStyle w:val="Textkrper"/>
      </w:pPr>
      <w:r>
        <w:rPr>
          <w:vertAlign w:val="superscript"/>
        </w:rPr>
        <w:t xml:space="preserve">1</w:t>
      </w:r>
      <w:r>
        <w:t xml:space="preserve"> </w:t>
      </w:r>
      <w:r>
        <w:t xml:space="preserve">Universiteit van Amsterdam, Amsterdam Centre for Ancient Studies and Archaeology, Turfdraagsterpad 9, 1012 XT Amsterdam, The Netherlands</w:t>
      </w:r>
      <w:r>
        <w:br/>
      </w:r>
      <w:r>
        <w:rPr>
          <w:vertAlign w:val="superscript"/>
        </w:rPr>
        <w:t xml:space="preserve">2</w:t>
      </w:r>
      <w:r>
        <w:t xml:space="preserve"> </w:t>
      </w:r>
      <w:r>
        <w:t xml:space="preserve">Leibniz-Forschungsmuseum für Georessourcen/Deutsches Bergbau-Museum Bochum, Research Area Archaeometallurgy, Am Bergbaumuseum 28, 44791 Bochum, Germany</w:t>
      </w:r>
      <w:r>
        <w:br/>
      </w:r>
      <w:r>
        <w:rPr>
          <w:vertAlign w:val="superscript"/>
        </w:rPr>
        <w:t xml:space="preserve">3</w:t>
      </w:r>
      <w:r>
        <w:t xml:space="preserve"> </w:t>
      </w:r>
      <w:r>
        <w:t xml:space="preserve">Massachusettes Institute of Technology, Department of Materials Science and Engineering, 77 Massachusetts Ave., Cambridge, MA 02139, United States</w:t>
      </w:r>
      <w:r>
        <w:br/>
      </w:r>
      <w:r>
        <w:t xml:space="preserve">* b.s.vandermeulen@uva.nl</w:t>
      </w:r>
    </w:p>
    <w:bookmarkStart w:id="22" w:name="abstract"/>
    <w:p>
      <w:pPr>
        <w:pStyle w:val="berschrift1"/>
      </w:pPr>
      <w:r>
        <w:t xml:space="preserve">Abstract</w:t>
      </w:r>
    </w:p>
    <w:p>
      <w:pPr>
        <w:pStyle w:val="FirstParagraph"/>
      </w:pPr>
      <w:r>
        <w:t xml:space="preserve">To test the current state of reproducibility in the archaeological sciences, a bibliographic survey was performed on articles publishing compositional and isotopic data in the field’s major journals between November 2025 and January 2026. While restricted to archaeometallurgy, it can be assumed that the findings are applicable to other subfields because of the featured analytical methods and the similar considerations in sampling and data processing. A reproducibility index was developed to provide a comparable and quantitative assessment. The index follows a practitioner’s perspective, combining elements of analytical and computational reproducibility. While about 50% of the articles are fully reproducible in each stage, pronounced differences can be observed between stages. Overall data quality would benefit from increased reproducibility of analytical protocols and visualisations, improved handling of analytical uncertainty, transparency in data treatment, and the adoption of standardised terminologies, as well as more attention to the accuracy of data availability statements. Recommendations are provided for each topic. The adoption of data publications and data processing pipelines are identified as the most impactful measures because they address several of the identified target areas at once.</w:t>
      </w:r>
    </w:p>
    <w:bookmarkEnd w:id="22"/>
    <w:bookmarkStart w:id="23" w:name="keywords"/>
    <w:p>
      <w:pPr>
        <w:pStyle w:val="berschrift1"/>
      </w:pPr>
      <w:r>
        <w:t xml:space="preserve">Keywords</w:t>
      </w:r>
    </w:p>
    <w:p>
      <w:pPr>
        <w:pStyle w:val="FirstParagraph"/>
      </w:pPr>
      <w:r>
        <w:t xml:space="preserve">Archaeometallurgy, Data quality, Reproducibility, Literature survey, Publishing</w:t>
      </w:r>
    </w:p>
    <w:bookmarkEnd w:id="23"/>
    <w:bookmarkStart w:id="26" w:name="introduction"/>
    <w:p>
      <w:pPr>
        <w:pStyle w:val="berschrift1"/>
      </w:pPr>
      <w:r>
        <w:t xml:space="preserve">Introduction</w:t>
      </w:r>
    </w:p>
    <w:p>
      <w:pPr>
        <w:pStyle w:val="FirstParagraph"/>
      </w:pPr>
      <w:r>
        <w:t xml:space="preserve">We present a bibliographic study of the current state of reproducibility and re-usability of archaeometallurgical data, focusing specifically on compositional and isotopic studies. We aim to showcase aspects of analytical and computational reproducibility in this field by analysing recently peer-reviewed journal articles published in the major international journals of the field according to a set of reproducibility criteria. Since the introduction of the FAIR data principles</w:t>
      </w:r>
      <w:r>
        <w:t xml:space="preserve"> </w:t>
      </w:r>
      <w:r>
        <w:t xml:space="preserve">(Wilkinson et al. 2016)</w:t>
      </w:r>
      <w:r>
        <w:t xml:space="preserve">, significant progress has been made in the archaeology community regarding data repositories and availability of and access to data, with a strong focus on data re-use</w:t>
      </w:r>
      <w:r>
        <w:t xml:space="preserve"> </w:t>
      </w:r>
      <w:r>
        <w:t xml:space="preserve">(Faniel et al. 2013; Sheehan 2015; Kansa 2015; Huggett 2018; Moody et al. 2021; Densmore 2022; Kansa and Kansa 2022)</w:t>
      </w:r>
      <w:r>
        <w:t xml:space="preserve">. Reflective of a wider movement, often in response to the so-called reproducibility crises particularly prominent in psychology, medicine and management studies</w:t>
      </w:r>
      <w:r>
        <w:t xml:space="preserve"> </w:t>
      </w:r>
      <w:r>
        <w:t xml:space="preserve">(Begley and Ioannidis 2015; Camerer et al. 2016; Faniel et al. 2016; Curty 2016; Aguinis et al. 2017; Gilmore et al. 2017; Mulugeta et al. 2018; Miłkowski et al. 2018; Kong et al. 2019; Brito et al. 2020; McIntosh and Chambers 2020; Kępińska et al. 2024; Samuel and Mietchen 2024;</w:t>
      </w:r>
      <w:r>
        <w:t xml:space="preserve"> </w:t>
      </w:r>
      <w:r>
        <w:t xml:space="preserve">Fišar et al.</w:t>
      </w:r>
      <w:r>
        <w:t xml:space="preserve"> </w:t>
      </w:r>
      <w:r>
        <w:t xml:space="preserve">2024; Ekhtiari et al. 2025; Roth et al. 2025; Masson-Trottier et al. 2025)</w:t>
      </w:r>
      <w:r>
        <w:t xml:space="preserve">, publications increasingly include underlying data in a digital format, either as supplementary files or as data publications in the increasing number of open access digital repositories</w:t>
      </w:r>
      <w:r>
        <w:t xml:space="preserve"> </w:t>
      </w:r>
      <w:r>
        <w:t xml:space="preserve">(Huggett 2018)</w:t>
      </w:r>
      <w:r>
        <w:t xml:space="preserve">. Data availability statements and the publication of supplementary data are increasingly mandated by journals in their author guidelines and policies</w:t>
      </w:r>
      <w:r>
        <w:t xml:space="preserve"> </w:t>
      </w:r>
      <w:r>
        <w:t xml:space="preserve">(Marwick 2025)</w:t>
      </w:r>
      <w:r>
        <w:t xml:space="preserve">. Although many of these developments are happening across the wider research community, archaeology has been uniquely positioned in championing these principles of data accessibility and reuse: much of our work, ranging from fieldwork to taking analytical samples on artefacts, is by its nature destructive and can only be carried out once, necessitating effective data management and preservation of the resulting data</w:t>
      </w:r>
      <w:r>
        <w:t xml:space="preserve"> </w:t>
      </w:r>
      <w:r>
        <w:t xml:space="preserve">(Faniel et al. 2013, p. 296; Heilen and Manney 2023)</w:t>
      </w:r>
      <w:r>
        <w:t xml:space="preserve">.</w:t>
      </w:r>
    </w:p>
    <w:p>
      <w:pPr>
        <w:pStyle w:val="Textkrper"/>
      </w:pPr>
      <w:r>
        <w:t xml:space="preserve">Much work has therefore already been done on the national and international level to draw up guidelines and best practices for data recording, most notably of archaeological fieldwork, to improve the sharing, reuse, comparison and reinterpretation of data by standardising methods and terminologies across studies</w:t>
      </w:r>
      <w:r>
        <w:t xml:space="preserve"> </w:t>
      </w:r>
      <w:r>
        <w:t xml:space="preserve">(Richards 2009; Austin et al. 2024, pp. 192–193)</w:t>
      </w:r>
      <w:r>
        <w:t xml:space="preserve">, prompted in no small part by Linked Open Data initiatives</w:t>
      </w:r>
      <w:r>
        <w:t xml:space="preserve"> </w:t>
      </w:r>
      <w:r>
        <w:t xml:space="preserve">(May et al. 2015; Nicholson et al. 2023)</w:t>
      </w:r>
      <w:r>
        <w:t xml:space="preserve">. Open Access data sharing through digital repositories has also lead to greater transparency of how data move from excavation, to lab, to publication</w:t>
      </w:r>
      <w:r>
        <w:t xml:space="preserve"> </w:t>
      </w:r>
      <w:r>
        <w:t xml:space="preserve">(Heilen and Manney 2023; Anevlavi et al. 2025)</w:t>
      </w:r>
      <w:r>
        <w:t xml:space="preserve">. With data repositories now widely used for archaeological research, attention must shift to maximise their use, i.e. towards the reuse of research output</w:t>
      </w:r>
      <w:r>
        <w:t xml:space="preserve"> </w:t>
      </w:r>
      <w:r>
        <w:t xml:space="preserve">(Curty 2016, p. 92)</w:t>
      </w:r>
      <w:r>
        <w:t xml:space="preserve">. Successful reuse, however, is dependent on many factors besides sharing research output, including transparency and reliability of the underlying data and the methods used.</w:t>
      </w:r>
    </w:p>
    <w:p>
      <w:pPr>
        <w:pStyle w:val="Textkrper"/>
      </w:pPr>
      <w:r>
        <w:t xml:space="preserve">In this article, we will first define the different aspects of reproducibility that we are concerned with as archaeometallurgists and outline a number of current solutions and initiatives to improve reproducibility in the archaeological sciences and broader academia. Based on this overview, we present a 13-stage reproducibility index designed to check academic publications on aspects of re-usability, replicability of protocols and reproducibility of data and results. While exclusively archaeometallurgical studies were checked due to the background of the authors, the results are assumed to reflect current common practices in the wider archaeological sciences because the same concerns with regards to e.g. sampling apply and the same or comparable analytical methods are generally employed. Finally, the results of this index will be discussed and some recommendations will be presented for improvements in archaeometric research and publishing standards with regards to reproducibility.</w:t>
      </w:r>
    </w:p>
    <w:bookmarkStart w:id="24" w:name="definitions-of-reproducibility"/>
    <w:p>
      <w:pPr>
        <w:pStyle w:val="berschrift2"/>
      </w:pPr>
      <w:r>
        <w:t xml:space="preserve">Definitions of reproducibility</w:t>
      </w:r>
    </w:p>
    <w:p>
      <w:pPr>
        <w:pStyle w:val="FirstParagraph"/>
      </w:pPr>
      <w:r>
        <w:t xml:space="preserve">Reproducibility, replicability and repeatability, while often used synonymously, can be applied to a range of different yet related definitions</w:t>
      </w:r>
      <w:r>
        <w:t xml:space="preserve"> </w:t>
      </w:r>
      <w:r>
        <w:t xml:space="preserve">(Barba 2018; Matarese 2022, p. 650)</w:t>
      </w:r>
      <w:r>
        <w:t xml:space="preserve">. We approach these terms firmly from a practitioner’s perspective: Can I recreate the results of a study with the information provided in its publication? This approach addresses three different types of reproducibility: reproducibility of the (analytical) methods, reproducibility of the results (defined here as the publication output), and as a subfield of the latter, computational reproducibility. We broadly follow the Method‑Result‑Inferential Reproducibility taxonomy as outlined by</w:t>
      </w:r>
      <w:r>
        <w:t xml:space="preserve"> </w:t>
      </w:r>
      <w:r>
        <w:t xml:space="preserve">Matarese (2022)</w:t>
      </w:r>
      <w:r>
        <w:t xml:space="preserve">, which combines two aspects of replicability: the availability of information necessary to reproduce a study and the passing of a replication test, in which a copy of the original study arrives at the same conclusion</w:t>
      </w:r>
      <w:r>
        <w:t xml:space="preserve"> </w:t>
      </w:r>
      <w:r>
        <w:t xml:space="preserve">(Matarese 2022, p. 651)</w:t>
      </w:r>
      <w:r>
        <w:t xml:space="preserve">. Within this taxonomy, Matarese defines the baseline for method reproducibility as full disclosure of the “details of the experiment’s or study’s procedure”</w:t>
      </w:r>
      <w:r>
        <w:t xml:space="preserve"> </w:t>
      </w:r>
      <w:r>
        <w:t xml:space="preserve">(Matarese 2022, p. 651)</w:t>
      </w:r>
      <w:r>
        <w:t xml:space="preserve">, while result reproducibility applies to any works where “the very same outcome is obtained by following the same procedure as closely as possible”</w:t>
      </w:r>
      <w:r>
        <w:t xml:space="preserve"> </w:t>
      </w:r>
      <w:r>
        <w:t xml:space="preserve">(Matarese 2022, p. 651)</w:t>
      </w:r>
      <w:r>
        <w:t xml:space="preserve">.</w:t>
      </w:r>
    </w:p>
    <w:p>
      <w:pPr>
        <w:pStyle w:val="Textkrper"/>
      </w:pPr>
      <w:r>
        <w:t xml:space="preserve">Our specific terminology, however, is informed foremost by the nature of the archaeometric sciences as it is defined by its aims, data pipelines and often destructive sampling methodology. Replicability, for instance, has long been a cornerstone of archaeological studies and is generally used more to refer specifically to the replication of the results of a study with different data or methods</w:t>
      </w:r>
      <w:r>
        <w:t xml:space="preserve"> </w:t>
      </w:r>
      <w:r>
        <w:t xml:space="preserve">(Plesser 2018, p. 3)</w:t>
      </w:r>
      <w:r>
        <w:t xml:space="preserve">; in other words, hypothesis testing. Inter-laboratory reproducibility is often invoked in discussions on the use of Certified Reference Materials (CRMs)</w:t>
      </w:r>
      <w:r>
        <w:t xml:space="preserve"> </w:t>
      </w:r>
      <w:r>
        <w:t xml:space="preserve">(Hancock and Carter 2010; Heginbotham and Solé 2017; Heginbotham et al. 2019; Lin et al. 2023)</w:t>
      </w:r>
      <w:r>
        <w:t xml:space="preserve"> </w:t>
      </w:r>
      <w:r>
        <w:t xml:space="preserve">or to showcase repeated analyses by different laboratories to illustrate the reliability and consistency of a particular methodology</w:t>
      </w:r>
      <w:r>
        <w:t xml:space="preserve"> </w:t>
      </w:r>
      <w:r>
        <w:t xml:space="preserve">(Calvo-Rathert et al. 2019)</w:t>
      </w:r>
      <w:r>
        <w:t xml:space="preserve">. Other archaeometric studies use the term reproducibility to reflect internal repeatability or accuracy of results</w:t>
      </w:r>
      <w:r>
        <w:t xml:space="preserve"> </w:t>
      </w:r>
      <w:r>
        <w:t xml:space="preserve">(Ma et al. 2011; Bayliss and Marshall 2019)</w:t>
      </w:r>
      <w:r>
        <w:t xml:space="preserve">, to test the accuracy of particular analytical methods through other methods</w:t>
      </w:r>
      <w:r>
        <w:t xml:space="preserve"> </w:t>
      </w:r>
      <w:r>
        <w:t xml:space="preserve">(Kim et al. 2023)</w:t>
      </w:r>
      <w:r>
        <w:t xml:space="preserve"> </w:t>
      </w:r>
      <w:r>
        <w:t xml:space="preserve">or to argue for external reproducibility through the use of CRMs</w:t>
      </w:r>
      <w:r>
        <w:t xml:space="preserve"> </w:t>
      </w:r>
      <w:r>
        <w:t xml:space="preserve">(Ponting et al. 2003)</w:t>
      </w:r>
      <w:r>
        <w:t xml:space="preserve">.</w:t>
      </w:r>
    </w:p>
    <w:p>
      <w:pPr>
        <w:pStyle w:val="Textkrper"/>
      </w:pPr>
      <w:r>
        <w:t xml:space="preserve">Reproducibility of the results then, in the strictest sense, refers to rerunning an experiment with the same materials, methods and techniques provided in the publication to see whether the same output is generated (similar to inter-laboratory interoperability). As</w:t>
      </w:r>
      <w:r>
        <w:t xml:space="preserve"> </w:t>
      </w:r>
      <w:r>
        <w:t xml:space="preserve">Steckler (2015)</w:t>
      </w:r>
      <w:r>
        <w:t xml:space="preserve"> </w:t>
      </w:r>
      <w:r>
        <w:t xml:space="preserve">points out, the required detailed information to fully reproduce experiments is lacking in many publications. He further emphasises the importance of detailed methodological descriptions for areas of study where tests and protocols may be less standardised or where the current state of scholarship is characterised by a high variability of experimental design or methodological approach. Given that the re-analysis of archaeological artefacts is rare, we employ this aspect of reproducibility more to the stages of research that follow data collection: data treatment, analysis and presentation; in essence the output of a publication rather than its results in the form of analytical data.</w:t>
      </w:r>
    </w:p>
    <w:p>
      <w:pPr>
        <w:pStyle w:val="Textkrper"/>
      </w:pPr>
      <w:r>
        <w:t xml:space="preserve">Reproducibility of method may be more accurately called, at least in the context of this study, procedural or analytical reproducibility and concerns the total sum of analytical methods and protocols employed in a study. For a publication to be fully reproducible in this regard, the methods section would include all necessary detail regarding experiment design and sampling and the analytical protocols for these procedures to be exactly repeated by another researcher</w:t>
      </w:r>
      <w:r>
        <w:t xml:space="preserve"> </w:t>
      </w:r>
      <w:r>
        <w:t xml:space="preserve">(Plesser 2018, p. 3)</w:t>
      </w:r>
      <w:r>
        <w:t xml:space="preserve">. In this sense, analytical reproducibility also addresses aspects of re-usability: when presented with a detailed methods section, potential re-users are better equipped to make an informed choice about whether a particular dataset is close enough to their own in terms of methods, precision and accuracy to be useful as a comparative dataset. Some methodological aspects that make archaeometric research more reproducible also target interoperability, for instance data normalisation or the inclusion of CRMs</w:t>
      </w:r>
      <w:r>
        <w:t xml:space="preserve"> </w:t>
      </w:r>
      <w:r>
        <w:t xml:space="preserve">(Hancock and Carter 2010; Heginbotham and Solé 2017; Heginbotham et al. 2019; Lin et al. 2023)</w:t>
      </w:r>
      <w:r>
        <w:t xml:space="preserve">.</w:t>
      </w:r>
    </w:p>
    <w:p>
      <w:pPr>
        <w:pStyle w:val="Textkrper"/>
      </w:pPr>
      <w:r>
        <w:t xml:space="preserve">Computational and statistical reproducibility describe whether data cleaning, transformations and calculations can be followed step-by-step. In addition, information about the software, its dependencies, and their specific versions, i.e. the computational environment, is required. Although the archaeological sciences do not seem to be particularly computation-heavy on the first glance, big data approaches and multi-variate statistical approaches and modelling are becoming increasingly common</w:t>
      </w:r>
      <w:r>
        <w:t xml:space="preserve"> </w:t>
      </w:r>
      <w:r>
        <w:t xml:space="preserve">(Baxter 1994; Shadmehr and Mostafaei 2016; Crema 2025)</w:t>
      </w:r>
      <w:r>
        <w:t xml:space="preserve">, making computational reproducibility essential. Differences in how precisely a software calculates certain values or which algorithms are used can lead to different results, necessitating the recording of each decision. In an ideal scenario, the individual steps are best shared as script and start from the raw data</w:t>
      </w:r>
      <w:r>
        <w:t xml:space="preserve"> </w:t>
      </w:r>
      <w:r>
        <w:t xml:space="preserve">(Marwick et al. 2018; Nüst et al. 2020; Marwick 2025)</w:t>
      </w:r>
      <w:r>
        <w:t xml:space="preserve">. Computational reproducibility then also facilitates what some have dubbed empirical reproducibility: the transferability of code to new data and to other domains for achieving similar results [cf.</w:t>
      </w:r>
      <w:r>
        <w:t xml:space="preserve"> </w:t>
      </w:r>
      <w:r>
        <w:t xml:space="preserve">Bilotti et al. (2024)</w:t>
      </w:r>
      <w:r>
        <w:t xml:space="preserve">, 2;</w:t>
      </w:r>
      <w:r>
        <w:t xml:space="preserve"> </w:t>
      </w:r>
      <w:r>
        <w:t xml:space="preserve">Marwick (2017a)</w:t>
      </w:r>
      <w:r>
        <w:t xml:space="preserve">;</w:t>
      </w:r>
      <w:r>
        <w:t xml:space="preserve"> </w:t>
      </w:r>
      <w:r>
        <w:t xml:space="preserve">Marwick et al. (2018)</w:t>
      </w:r>
      <w:r>
        <w:t xml:space="preserve">). Understanding software applications as research objects, subject to FAIR principles</w:t>
      </w:r>
      <w:r>
        <w:t xml:space="preserve"> </w:t>
      </w:r>
      <w:r>
        <w:t xml:space="preserve">(Barker et al. 2022)</w:t>
      </w:r>
      <w:r>
        <w:t xml:space="preserve">, further emphasises the importance of this work to the research community, rather than viewing them as an unrelated tool</w:t>
      </w:r>
      <w:r>
        <w:t xml:space="preserve"> </w:t>
      </w:r>
      <w:r>
        <w:t xml:space="preserve">(cf. Marwick 2025)</w:t>
      </w:r>
      <w:r>
        <w:t xml:space="preserve">.</w:t>
      </w:r>
    </w:p>
    <w:bookmarkEnd w:id="24"/>
    <w:bookmarkStart w:id="25" w:name="the-reproducibility-crisis-and-responses"/>
    <w:p>
      <w:pPr>
        <w:pStyle w:val="berschrift2"/>
      </w:pPr>
      <w:r>
        <w:t xml:space="preserve">The reproducibility crisis and responses</w:t>
      </w:r>
    </w:p>
    <w:p>
      <w:pPr>
        <w:pStyle w:val="FirstParagraph"/>
      </w:pPr>
      <w:r>
        <w:t xml:space="preserve">The concerns around producing reproducible data and research are far from unique to the field of archaeology and many fields have produced recommendations for improving various aspects of reproducibility. A much-cited survey in Nature found that over 70% of researchers had failed to reproduce results from at least one published study, and over 50% had failed to reproduce their own results, contributing to a widely held believe in a reproducibility crisis</w:t>
      </w:r>
      <w:r>
        <w:t xml:space="preserve"> </w:t>
      </w:r>
      <w:r>
        <w:t xml:space="preserve">(Baker 2016)</w:t>
      </w:r>
      <w:r>
        <w:t xml:space="preserve">. Unsurprisingly then, a great deal of work has been devoted in recent years to overcoming this reproducibility crisis, especially in the fields of biomedicine (including neuroscience) and psychology</w:t>
      </w:r>
      <w:r>
        <w:t xml:space="preserve"> </w:t>
      </w:r>
      <w:r>
        <w:t xml:space="preserve">(Begley and Ioannidis 2015; Gilmore et al. 2017; Mulugeta et al. 2018; Miłkowski et al. 2018; Kong et al. 2019; Brito et al. 2020; McIntosh and Chambers 2020; Kępińska et al. 2024; Samuel and Mietchen 2024; Ekhtiari et al. 2025; Roth et al. 2025; Masson-Trottier et al. 2025)</w:t>
      </w:r>
      <w:r>
        <w:t xml:space="preserve">, and in the social sciences, economics, and management studies</w:t>
      </w:r>
      <w:r>
        <w:t xml:space="preserve"> </w:t>
      </w:r>
      <w:r>
        <w:t xml:space="preserve">(Camerer et al. 2016; Faniel et al. 2016; Curty 2016; Aguinis et al. 2017;</w:t>
      </w:r>
      <w:r>
        <w:t xml:space="preserve"> </w:t>
      </w:r>
      <w:r>
        <w:t xml:space="preserve">Fišar et al.</w:t>
      </w:r>
      <w:r>
        <w:t xml:space="preserve"> </w:t>
      </w:r>
      <w:r>
        <w:t xml:space="preserve">2024)</w:t>
      </w:r>
      <w:r>
        <w:t xml:space="preserve">. In a community survey among German neuroscientists, Klingner et al. highlight several difficulties faced by researchers that bar them from open and accessible research data management (RDM) and data sharing, some of which can be applied to archaeometry as well, namely a lack of widely shared standards for data and metadata, a lack of RDM literacy and a lack of time and resources for adequate RDM. They furthermore highlighted the need to develop standards, tools and infrastructure to address these issues, as well as investment in training and education</w:t>
      </w:r>
      <w:r>
        <w:t xml:space="preserve"> </w:t>
      </w:r>
      <w:r>
        <w:t xml:space="preserve">(Klingner et al. 2022, 2023)</w:t>
      </w:r>
      <w:r>
        <w:t xml:space="preserve">. Moreover, their survey revealed that between 15 and 39% of respondents used personal solutions and methods to deal with data analysis, data preprocessing, version control, data exchange, data formats, data sharing, and metadata collection and management instead of available tools or standards</w:t>
      </w:r>
      <w:r>
        <w:t xml:space="preserve"> </w:t>
      </w:r>
      <w:r>
        <w:t xml:space="preserve">(Klingner et al. 2022)</w:t>
      </w:r>
      <w:r>
        <w:t xml:space="preserve">.</w:t>
      </w:r>
      <w:r>
        <w:t xml:space="preserve"> </w:t>
      </w:r>
      <w:r>
        <w:t xml:space="preserve">Aguinis et al. (2017)</w:t>
      </w:r>
      <w:r>
        <w:t xml:space="preserve"> </w:t>
      </w:r>
      <w:r>
        <w:t xml:space="preserve">also propose several methodological standards to improve reproducibility and transparency of research, such as discussion of statistical assumptions, control variables, aggregation, precise use of terminology and discussion of the limitations of the chosen methodology. Comparable developments occurred in the geosciences, with scholarship developing standards for data publications</w:t>
      </w:r>
      <w:r>
        <w:t xml:space="preserve"> </w:t>
      </w:r>
      <w:r>
        <w:t xml:space="preserve">(including isotope and chemical data: Chamberlain et al. 2021; Staudigel et al. 2003; Deines et al. 2003; Goldstein et al. 2014; Klöcking et al. 2023; Welti et al. 2024)</w:t>
      </w:r>
      <w:r>
        <w:t xml:space="preserve"> </w:t>
      </w:r>
      <w:r>
        <w:t xml:space="preserve">and computational reproducibility</w:t>
      </w:r>
      <w:r>
        <w:t xml:space="preserve"> </w:t>
      </w:r>
      <w:r>
        <w:t xml:space="preserve">(Konkol et al. 2019)</w:t>
      </w:r>
      <w:r>
        <w:t xml:space="preserve">.</w:t>
      </w:r>
    </w:p>
    <w:p>
      <w:pPr>
        <w:pStyle w:val="Textkrper"/>
      </w:pPr>
      <w:r>
        <w:t xml:space="preserve">Previous publications focusing specifically on the archaeological sciences have already made highly valuable suggestions for research documentation going forward. Some studies have focused more on methodological aspects.</w:t>
      </w:r>
      <w:r>
        <w:t xml:space="preserve"> </w:t>
      </w:r>
      <w:r>
        <w:t xml:space="preserve">Johnson et al. (2024)</w:t>
      </w:r>
      <w:r>
        <w:t xml:space="preserve">, for example, performed a bibliographic analysis of archaeological studies employing pXRF, and made recommendations for key information that publications using that method should include</w:t>
      </w:r>
      <w:r>
        <w:t xml:space="preserve"> </w:t>
      </w:r>
      <w:r>
        <w:t xml:space="preserve">(Johnson et al. 2024, table 2)</w:t>
      </w:r>
      <w:r>
        <w:t xml:space="preserve">.</w:t>
      </w:r>
      <w:r>
        <w:t xml:space="preserve"> </w:t>
      </w:r>
      <w:r>
        <w:t xml:space="preserve">Roberts et al. (2018)</w:t>
      </w:r>
      <w:r>
        <w:t xml:space="preserve"> </w:t>
      </w:r>
      <w:r>
        <w:t xml:space="preserve">recommend documenting systematic errors, using CRMs, repeat measurements and standards for precision reporting of stable isotope data.</w:t>
      </w:r>
      <w:r>
        <w:t xml:space="preserve"> </w:t>
      </w:r>
      <w:r>
        <w:t xml:space="preserve">Other resources target the computational aspect of reproducibility, with recommendations and designs for adoptable and adaptable research infrastructures. In his role as reproducibility editor for the Journal of Archaeological Science,</w:t>
      </w:r>
      <w:r>
        <w:t xml:space="preserve"> </w:t>
      </w:r>
      <w:r>
        <w:t xml:space="preserve">Marwick (2025)</w:t>
      </w:r>
      <w:r>
        <w:t xml:space="preserve"> </w:t>
      </w:r>
      <w:r>
        <w:t xml:space="preserve">outlines a number of common issues and solutions to improve reproducibility of analytical results from a publisher’s perspective: how can the results presented in a given paper be replicated or reproduced by someone else? His paper focuses predominantly on formal computational aspects of reproducibility that reduce friction for the re-user: use of open-source programming/scripting languages, logical folder structures and documentation of code. Although Marwick’s proposed project containerisation recommendations</w:t>
      </w:r>
      <w:r>
        <w:t xml:space="preserve"> </w:t>
      </w:r>
      <w:r>
        <w:t xml:space="preserve">(see also Marwick 2017b; Marwick and Jacobs 2017; Marwick et al. 2018; Marwick and Birch 2018)</w:t>
      </w:r>
      <w:r>
        <w:t xml:space="preserve"> </w:t>
      </w:r>
      <w:r>
        <w:t xml:space="preserve">would incentivise code being structured and cited as an original research contribution, it remains valid to ask how feasible such an approach is for the majority of researchers currently active. The need for education and training in data management is likely equally high in archaeology compared to the neurosciences</w:t>
      </w:r>
      <w:r>
        <w:t xml:space="preserve"> </w:t>
      </w:r>
      <w:r>
        <w:t xml:space="preserve">(Klingner et al. 2022, 2023)</w:t>
      </w:r>
      <w:r>
        <w:t xml:space="preserve">, if not higher. The proposed project managerial overhead may also not be feasible or necessary for smaller studies or studies carried out by those with fewer computational or financial resources. Developing clear guidance from the publisher’s perspective as well as enforcement also remain issues</w:t>
      </w:r>
      <w:r>
        <w:t xml:space="preserve"> </w:t>
      </w:r>
      <w:r>
        <w:t xml:space="preserve">(Masson-Trottier et al. 2025, pp. 3–4)</w:t>
      </w:r>
      <w:r>
        <w:t xml:space="preserve">.</w:t>
      </w:r>
    </w:p>
    <w:p>
      <w:pPr>
        <w:pStyle w:val="Textkrper"/>
      </w:pPr>
      <w:r>
        <w:t xml:space="preserve">A wide range of tools is already available for addressing especially the more formal computational and statistical aspects of reproducibility identified in these studies. Multiple openly accessible tools are available for the documentation of code and its embedding in interpretative narratives, such as Jupyter notebooks</w:t>
      </w:r>
      <w:r>
        <w:t xml:space="preserve"> </w:t>
      </w:r>
      <w:r>
        <w:t xml:space="preserve">(Samuel and Mietchen 2024)</w:t>
      </w:r>
      <w:r>
        <w:t xml:space="preserve">, the R packages knitr</w:t>
      </w:r>
      <w:r>
        <w:t xml:space="preserve"> </w:t>
      </w:r>
      <w:r>
        <w:t xml:space="preserve">(Xie 2014, 2015)</w:t>
      </w:r>
      <w:r>
        <w:t xml:space="preserve"> </w:t>
      </w:r>
      <w:r>
        <w:t xml:space="preserve">and rmarkdown</w:t>
      </w:r>
      <w:r>
        <w:t xml:space="preserve"> </w:t>
      </w:r>
      <w:r>
        <w:t xml:space="preserve">(Xie et al. 2018, 2020)</w:t>
      </w:r>
      <w:r>
        <w:t xml:space="preserve">, and Quarto</w:t>
      </w:r>
      <w:r>
        <w:t xml:space="preserve"> </w:t>
      </w:r>
      <w:r>
        <w:t xml:space="preserve">(Allaire et al. 2026)</w:t>
      </w:r>
      <w:r>
        <w:t xml:space="preserve">. Other initiatives offer tools to automate checks on formal reproducibility factors such as checking the portability of file paths, optimising project structure and rearranging file organisation</w:t>
      </w:r>
      <w:r>
        <w:t xml:space="preserve"> </w:t>
      </w:r>
      <w:r>
        <w:t xml:space="preserve">(e.g. fertile: Bertin and Baumer 2021)</w:t>
      </w:r>
      <w:r>
        <w:t xml:space="preserve">, or to embed code and writing in a complete research compendium</w:t>
      </w:r>
      <w:r>
        <w:t xml:space="preserve"> </w:t>
      </w:r>
      <w:r>
        <w:t xml:space="preserve">(rrtools: Marwick et al. 2019)</w:t>
      </w:r>
      <w:r>
        <w:t xml:space="preserve">. Increasingly, non-profit solutions for version control such as git are becoming popular in academic work, and packages facilitate access to them</w:t>
      </w:r>
      <w:r>
        <w:t xml:space="preserve"> </w:t>
      </w:r>
      <w:r>
        <w:t xml:space="preserve">(e.g., workflowr: Blischak et al. 2018)</w:t>
      </w:r>
      <w:r>
        <w:t xml:space="preserve">. Most of the mentioned examples are taken from the ecosystem around the freely available language for statistical computing and graphics R</w:t>
      </w:r>
      <w:r>
        <w:t xml:space="preserve"> </w:t>
      </w:r>
      <w:r>
        <w:t xml:space="preserve">(R Core Team 2026)</w:t>
      </w:r>
      <w:r>
        <w:t xml:space="preserve">, because it seems to be the most commonly used scripting language in the archaeological sciences. Similar tools for other scripting languages, especially Python, are available.</w:t>
      </w:r>
    </w:p>
    <w:p>
      <w:pPr>
        <w:pStyle w:val="Textkrper"/>
      </w:pPr>
      <w:r>
        <w:t xml:space="preserve">However, while it is possible to be completely transparent as far as these computational tools are concerned, they only target one aspect of reproducibility we are concerned with (computational), and not the reproducibility of analytical methods. The wide variety of analytical methods used in archaeometry also means that there is no easy one-size-fits-all approach to recording analytical protocols or standards. With these thoughts in mind, we designed a series of reproducibility checks that more specifically target both analytical/methodological and computational reproducibility of archaeometric research to give an insight into the current state of affairs within our discipline.</w:t>
      </w:r>
    </w:p>
    <w:bookmarkEnd w:id="25"/>
    <w:bookmarkEnd w:id="26"/>
    <w:bookmarkStart w:id="42" w:name="methods"/>
    <w:p>
      <w:pPr>
        <w:pStyle w:val="berschrift1"/>
      </w:pPr>
      <w:r>
        <w:t xml:space="preserve">Methods</w:t>
      </w:r>
    </w:p>
    <w:bookmarkStart w:id="40" w:name="index-design"/>
    <w:p>
      <w:pPr>
        <w:pStyle w:val="berschrift2"/>
      </w:pPr>
      <w:r>
        <w:t xml:space="preserve">Index design</w:t>
      </w:r>
    </w:p>
    <w:p>
      <w:pPr>
        <w:pStyle w:val="FirstParagraph"/>
      </w:pPr>
      <w:r>
        <w:t xml:space="preserve">In order to produce a quantifiable description of the current state of publication practices, a reproducibility index was designed to score journal articles on different aspects of how they handled recording and description of the data pipeline. Thirteen “stages”, ranging from zero to 12 were defined, covering data collection, data treatment, data analysis and visualisation. Analysis of the first stages relates to data collection-targeted aspects of decision-making processes in the field or laboratory and the replicability of analytical protocols, while the later stages relate to aspects of the data pipeline and are more focused on computational reproducibility. Together, they give a broad insight per publication whether, based on the information provided in the publication and its supplement(s), its internal methodology can be replicated and whether the results and analysis presented can be reproduced.</w:t>
      </w:r>
    </w:p>
    <w:p>
      <w:pPr>
        <w:pStyle w:val="Textkrper"/>
      </w:pPr>
      <w:r>
        <w:t xml:space="preserve">Parameters were defined for each stage (see below) to allow a score between zero and two. The score reflects whether a particular stage was fully reproducible/replicable (2), partially reproducible/replicable (1), not reproducible/replicable (0), or that the criterion was not applicable (NA). A score of 1 was also used to identify cases where reproducibility was possible for a particular stage, but only with significant effort or where information was only partially present (for instance for some methods but not for others in multi-pronged studies). Comments were included for every stage for every publication as a record to support the scoring (cf. ###).</w:t>
      </w:r>
    </w:p>
    <w:bookmarkStart w:id="27" w:name="X2ce1465b9c4bcb8e93fe7ec18bd338d1cc99cb1"/>
    <w:p>
      <w:pPr>
        <w:pStyle w:val="berschrift3"/>
      </w:pPr>
      <w:r>
        <w:t xml:space="preserve">Stage 0: Sampling strategy and preparation</w:t>
      </w:r>
    </w:p>
    <w:p>
      <w:pPr>
        <w:pStyle w:val="FirstParagraph"/>
      </w:pPr>
      <w:r>
        <w:t xml:space="preserve">This stage relates to the choice of artefact sampling (e.g. out of an assemblage based on certain characteristics), location of sampling on the artefact, how samples were prepared prior to analysis (e.g. surface analysis only, cleaning, removal of material) and when destructive samples were removed from the artefact, how much was removed and with which tools. In studies applying multiple analytical techniques, this information should be provided for each method used, where appropriate. Location of the sampling was only taken into account for the scoring when it concerned artefacts; it was not considered for samples of slags.</w:t>
      </w:r>
    </w:p>
    <w:p>
      <w:pPr>
        <w:pStyle w:val="Compact"/>
        <w:numPr>
          <w:ilvl w:val="0"/>
          <w:numId w:val="1001"/>
        </w:numPr>
      </w:pPr>
      <w:r>
        <w:t xml:space="preserve">Fully reproducible (2): Sufficient information is included on all sampling choices made for each method, allowing the full analytical protocol to be adopted by other studies.</w:t>
      </w:r>
    </w:p>
    <w:p>
      <w:pPr>
        <w:pStyle w:val="Compact"/>
        <w:numPr>
          <w:ilvl w:val="0"/>
          <w:numId w:val="1001"/>
        </w:numPr>
      </w:pPr>
      <w:r>
        <w:t xml:space="preserve">Partially reproducible (1): Most of the information is present for all methods, or sufficient information is present for at least one of the methods used.</w:t>
      </w:r>
    </w:p>
    <w:p>
      <w:pPr>
        <w:pStyle w:val="Compact"/>
        <w:numPr>
          <w:ilvl w:val="0"/>
          <w:numId w:val="1001"/>
        </w:numPr>
      </w:pPr>
      <w:r>
        <w:t xml:space="preserve">Not reproducible (0): Insufficient information is present for any analytical methods used.</w:t>
      </w:r>
    </w:p>
    <w:bookmarkEnd w:id="27"/>
    <w:bookmarkStart w:id="28" w:name="stage-1-analytical-protocol"/>
    <w:p>
      <w:pPr>
        <w:pStyle w:val="berschrift3"/>
      </w:pPr>
      <w:r>
        <w:t xml:space="preserve">Stage 1: Analytical protocol</w:t>
      </w:r>
    </w:p>
    <w:p>
      <w:pPr>
        <w:pStyle w:val="FirstParagraph"/>
      </w:pPr>
      <w:r>
        <w:t xml:space="preserve">Stage 1 explicitly targets the replicability of analytical protocols described in articles for future studies. For every method employed, this should include some description of the equipment and its settings, and, where relevant, processing of samples and the number of measurements or replicates per artefact. As discussed in the results section, the use of multiple analytical methods within a single study was common, necessitating a nuanced approach to the scoring. When faced with a word limit, publications employing multiple distinct protocols may opt to include less detail than those employing a single methodology. To judge this fairly, it was initially attempted to focus the scoring on the “main method” of a study, which worked well in cases where pXRF was for example used as a survey tool (methodology described only briefly) in order to select samples for SEM-EDS (described more fully). However, in the majority of studies a main method could not be clearly identified because different analytical techniques were used to achieve complementary datasets (e.g., trace element composition and lead isotopes ratios). It was attempted to let the scoring reflect this multi-technique approach in identifying general levels of completion and detail across the methods and averaging those.</w:t>
      </w:r>
    </w:p>
    <w:p>
      <w:pPr>
        <w:pStyle w:val="Compact"/>
        <w:numPr>
          <w:ilvl w:val="0"/>
          <w:numId w:val="1002"/>
        </w:numPr>
      </w:pPr>
      <w:r>
        <w:t xml:space="preserve">Fully reproducible (2): Sufficient information is included on all analytical methods used, allowing the full analytical protocol to be adopted by other studies.</w:t>
      </w:r>
    </w:p>
    <w:p>
      <w:pPr>
        <w:pStyle w:val="Compact"/>
        <w:numPr>
          <w:ilvl w:val="0"/>
          <w:numId w:val="1002"/>
        </w:numPr>
      </w:pPr>
      <w:r>
        <w:t xml:space="preserve">Partially reproducible (1): Most of the information is present for all analytical methods or sufficient information is present for at least one of the analytical methods used.</w:t>
      </w:r>
    </w:p>
    <w:p>
      <w:pPr>
        <w:pStyle w:val="Compact"/>
        <w:numPr>
          <w:ilvl w:val="0"/>
          <w:numId w:val="1002"/>
        </w:numPr>
      </w:pPr>
      <w:r>
        <w:t xml:space="preserve">Not reproducible (0): Insufficient information is present for any analytical methods used.</w:t>
      </w:r>
    </w:p>
    <w:bookmarkEnd w:id="28"/>
    <w:bookmarkStart w:id="29" w:name="stage-2-data-availability"/>
    <w:p>
      <w:pPr>
        <w:pStyle w:val="berschrift3"/>
      </w:pPr>
      <w:r>
        <w:t xml:space="preserve">Stage 2: Data availability</w:t>
      </w:r>
    </w:p>
    <w:p>
      <w:pPr>
        <w:pStyle w:val="FirstParagraph"/>
      </w:pPr>
      <w:r>
        <w:t xml:space="preserve">Any attempt at computational reproducibility stands or falls with the inclusion of underlying analytical data. Rather than making any statement about the level of processing of the presented data, we scored this criterion on whether the data provided were sufficient to reproduce any calculations, tables or visualisations presented. The scoring here distinguishes between presence/absence (0 or 2) and comments, through the use of the 1 score, on friction in extracting the data and importing it into the reproducer’s software of choice. If this involved too many steps, this increased the risk of introducing copying errors, loss of information or loss of time.</w:t>
      </w:r>
    </w:p>
    <w:p>
      <w:pPr>
        <w:pStyle w:val="Compact"/>
        <w:numPr>
          <w:ilvl w:val="0"/>
          <w:numId w:val="1003"/>
        </w:numPr>
      </w:pPr>
      <w:r>
        <w:t xml:space="preserve">Fully reproducible (2): All necessary data are included. Data are made available in a format that facilitates (relatively) frictionless re-use or at least a level of data formatting that is less prone to copying errors (e.g. Microsoft Excel or .csv file in digital supplement, data publication, or online repository).</w:t>
      </w:r>
    </w:p>
    <w:p>
      <w:pPr>
        <w:pStyle w:val="Compact"/>
        <w:numPr>
          <w:ilvl w:val="0"/>
          <w:numId w:val="1003"/>
        </w:numPr>
      </w:pPr>
      <w:r>
        <w:t xml:space="preserve">Partially reproducible (1): All necessary data are included. Data are made available in a format that is prone to introduce errors (e.g. table in text; Microsoft Word or .pdf file in digital supplement, data publication, or online repository).</w:t>
      </w:r>
    </w:p>
    <w:p>
      <w:pPr>
        <w:pStyle w:val="Compact"/>
        <w:numPr>
          <w:ilvl w:val="0"/>
          <w:numId w:val="1003"/>
        </w:numPr>
      </w:pPr>
      <w:r>
        <w:t xml:space="preserve">Not reproducible (0): Data are not included in any format or only a selection of the data is included.</w:t>
      </w:r>
    </w:p>
    <w:bookmarkEnd w:id="29"/>
    <w:bookmarkStart w:id="30" w:name="stage-3-availability-of-comparative-data"/>
    <w:p>
      <w:pPr>
        <w:pStyle w:val="berschrift3"/>
      </w:pPr>
      <w:r>
        <w:t xml:space="preserve">Stage 3: Availability of comparative data</w:t>
      </w:r>
    </w:p>
    <w:p>
      <w:pPr>
        <w:pStyle w:val="FirstParagraph"/>
      </w:pPr>
      <w:r>
        <w:t xml:space="preserve">The use of comparative data from previous studies, a vital aspect of our discipline, was scored according to how transparently this was done through citation. No attempt was made to verify these citations and check the findability of the datasets.</w:t>
      </w:r>
    </w:p>
    <w:p>
      <w:pPr>
        <w:pStyle w:val="Compact"/>
        <w:numPr>
          <w:ilvl w:val="0"/>
          <w:numId w:val="1004"/>
        </w:numPr>
      </w:pPr>
      <w:r>
        <w:t xml:space="preserve">Fully reproducible (2): Comparative data are cited explicitly where they are used (e.g., in an image caption) or are reproduced in a data supplement.</w:t>
      </w:r>
    </w:p>
    <w:p>
      <w:pPr>
        <w:pStyle w:val="Compact"/>
        <w:numPr>
          <w:ilvl w:val="0"/>
          <w:numId w:val="1004"/>
        </w:numPr>
      </w:pPr>
      <w:r>
        <w:t xml:space="preserve">Partially reproducible (1): Comparative data are cited, but citations are listed more generally in the text without a clear connection to where the cited data was used.</w:t>
      </w:r>
    </w:p>
    <w:p>
      <w:pPr>
        <w:pStyle w:val="Compact"/>
        <w:numPr>
          <w:ilvl w:val="0"/>
          <w:numId w:val="1004"/>
        </w:numPr>
      </w:pPr>
      <w:r>
        <w:t xml:space="preserve">Not reproducible (0): Comparative data are used but not cited at all.</w:t>
      </w:r>
    </w:p>
    <w:bookmarkEnd w:id="30"/>
    <w:bookmarkStart w:id="31" w:name="X7d9cc9f9a7717f4c3fd17d3697a7c6d72430221"/>
    <w:p>
      <w:pPr>
        <w:pStyle w:val="berschrift3"/>
      </w:pPr>
      <w:r>
        <w:t xml:space="preserve">Stage 4: Calibration and use of certified reference materials</w:t>
      </w:r>
    </w:p>
    <w:p>
      <w:pPr>
        <w:pStyle w:val="FirstParagraph"/>
      </w:pPr>
      <w:r>
        <w:t xml:space="preserve">Stages 4 to 8 cover aspects of transparency in data quality. Certified reference materials are a baseline standard for ensuring internal data consistency and should ideally be used and cited in a publication for every analytical method used. Alternatively, if a particular technique such as pXRF or SEM-EDS was employed in a “standardless mode”, this should also be qualified. Although we do not intend to suggest any specific commercially available reference material should be used over any other, we did distinguish in the scoring between cited and certified materials versus in-house reference materials (which do improve transparency, but not replicability), with some caveats.</w:t>
      </w:r>
    </w:p>
    <w:p>
      <w:pPr>
        <w:pStyle w:val="Compact"/>
        <w:numPr>
          <w:ilvl w:val="0"/>
          <w:numId w:val="1005"/>
        </w:numPr>
      </w:pPr>
      <w:r>
        <w:t xml:space="preserve">Fully reproducible (2): One or more CRMs are used and cited. One or more internal or commercial standards are used and the certified and analysed values are provided, or standardless mode is specified.</w:t>
      </w:r>
    </w:p>
    <w:p>
      <w:pPr>
        <w:pStyle w:val="Compact"/>
        <w:numPr>
          <w:ilvl w:val="0"/>
          <w:numId w:val="1005"/>
        </w:numPr>
      </w:pPr>
      <w:r>
        <w:t xml:space="preserve">Partially reproducible (1): Relevant information as specified for score 2 is included, but only for some of the methods used, or their use is mentioned but no citations and/or values of the CRMs are given.</w:t>
      </w:r>
    </w:p>
    <w:p>
      <w:pPr>
        <w:pStyle w:val="Compact"/>
        <w:numPr>
          <w:ilvl w:val="0"/>
          <w:numId w:val="1005"/>
        </w:numPr>
      </w:pPr>
      <w:r>
        <w:t xml:space="preserve">Not reproducible (0): No information is provided for any analytical method used.</w:t>
      </w:r>
    </w:p>
    <w:bookmarkEnd w:id="31"/>
    <w:bookmarkStart w:id="32" w:name="stage-5-analytical-uncertainty"/>
    <w:p>
      <w:pPr>
        <w:pStyle w:val="berschrift3"/>
      </w:pPr>
      <w:r>
        <w:t xml:space="preserve">Stage 5: Analytical uncertainty</w:t>
      </w:r>
    </w:p>
    <w:p>
      <w:pPr>
        <w:pStyle w:val="FirstParagraph"/>
      </w:pPr>
      <w:r>
        <w:t xml:space="preserve">An indicator of the analytical uncertainty of the data provided can not only strengthen a publication’s output, it is also crucial for potential re-users to gauge whether a dataset is appropriate to their aims. This type of methodological metadata can take many forms, depending on the technique(s) used, but may include standard errors or standard deviations for measured values, reporting of procedural blanks, reporting of detection limits, and documentation of “not detected” values.</w:t>
      </w:r>
    </w:p>
    <w:p>
      <w:pPr>
        <w:pStyle w:val="Compact"/>
        <w:numPr>
          <w:ilvl w:val="0"/>
          <w:numId w:val="1006"/>
        </w:numPr>
      </w:pPr>
      <w:r>
        <w:t xml:space="preserve">Fully reproducible (2): Adequate and appropriate information is provided for every analytical method.</w:t>
      </w:r>
    </w:p>
    <w:p>
      <w:pPr>
        <w:pStyle w:val="Compact"/>
        <w:numPr>
          <w:ilvl w:val="0"/>
          <w:numId w:val="1006"/>
        </w:numPr>
      </w:pPr>
      <w:r>
        <w:t xml:space="preserve">Partially reproducible (1): Adequate and appropriate information is provided for some analytical methods.</w:t>
      </w:r>
    </w:p>
    <w:p>
      <w:pPr>
        <w:pStyle w:val="Compact"/>
        <w:numPr>
          <w:ilvl w:val="0"/>
          <w:numId w:val="1006"/>
        </w:numPr>
      </w:pPr>
      <w:r>
        <w:t xml:space="preserve">Not reproducible (0): No information is given for any analytical method.</w:t>
      </w:r>
    </w:p>
    <w:bookmarkEnd w:id="32"/>
    <w:bookmarkStart w:id="33" w:name="X17802b662454fe2788e19c0389685c8b52f545b"/>
    <w:p>
      <w:pPr>
        <w:pStyle w:val="berschrift3"/>
      </w:pPr>
      <w:r>
        <w:t xml:space="preserve">Stage 6: Definition and treatment of outliers</w:t>
      </w:r>
    </w:p>
    <w:p>
      <w:pPr>
        <w:pStyle w:val="FirstParagraph"/>
      </w:pPr>
      <w:r>
        <w:t xml:space="preserve">Outliers in analytical data may be caused by a variety of factors, ranging from machine errors to genuinely deviant material compositions and, ideally, these are addressed explicitly in a publication for full methodological transparency. When outliers or significant variability within the data are not discussed, it is difficult to judge as a potential re-user why they were classified as such and not included in the data interpretation. How outliers were handled should also be addressed because this may impact statistical analyses (stage 11) or visualisations (stage 12). However, the absence of any discussion does not automatically mean outliers were not identified as they may have been removed without further documentation or their absence was not made explicit. To reflect this unknowability, no scores of 0 were awarded.</w:t>
      </w:r>
    </w:p>
    <w:p>
      <w:pPr>
        <w:pStyle w:val="Compact"/>
        <w:numPr>
          <w:ilvl w:val="0"/>
          <w:numId w:val="1007"/>
        </w:numPr>
      </w:pPr>
      <w:r>
        <w:t xml:space="preserve">Fully reproducible (2): Outliers or data variability are clearly defined and labelled, either in the underlying dataset, written text, or visualisations. Treatment of outliers is made explicit (e.g., removal or replacement).</w:t>
      </w:r>
    </w:p>
    <w:p>
      <w:pPr>
        <w:pStyle w:val="Compact"/>
        <w:numPr>
          <w:ilvl w:val="0"/>
          <w:numId w:val="1007"/>
        </w:numPr>
      </w:pPr>
      <w:r>
        <w:t xml:space="preserve">Partially reproducible (1): No comment is made on internal data variability or outliers, or vague definitions are given without explicit thresholds; treatment is not made explicit (e.g., outliers were excluded from visualisations without discussion).</w:t>
      </w:r>
    </w:p>
    <w:bookmarkEnd w:id="33"/>
    <w:bookmarkStart w:id="34" w:name="stage-7-normalisation"/>
    <w:p>
      <w:pPr>
        <w:pStyle w:val="berschrift3"/>
      </w:pPr>
      <w:r>
        <w:t xml:space="preserve">Stage 7: Normalisation</w:t>
      </w:r>
    </w:p>
    <w:p>
      <w:pPr>
        <w:pStyle w:val="FirstParagraph"/>
      </w:pPr>
      <w:r>
        <w:t xml:space="preserve">Reported data is often normalised, most commonly to 100%, because of how quantified results are provided by the used analytical methods (e.g., standardless energy dispersive XRF/EDS methods) and even if not explicitly mentioned, such normalisation can often be inferred by the informed reader from the used analytical method. Other analytical methods require normalisation to a certain isotope or element. Data are also often normalised to facilitate comparison with geochemical signatures and published data. In all cases, full reproducibility can only be achieved if any kind of normalisation is explicitly stated and, if applicable, reference compositions are cited.</w:t>
      </w:r>
    </w:p>
    <w:p>
      <w:pPr>
        <w:pStyle w:val="Compact"/>
        <w:numPr>
          <w:ilvl w:val="0"/>
          <w:numId w:val="1008"/>
        </w:numPr>
      </w:pPr>
      <w:r>
        <w:t xml:space="preserve">Fully reproducible (2): Normalisation is made explicit and all necessary information provided for all analytical methods.</w:t>
      </w:r>
    </w:p>
    <w:p>
      <w:pPr>
        <w:pStyle w:val="Compact"/>
        <w:numPr>
          <w:ilvl w:val="0"/>
          <w:numId w:val="1008"/>
        </w:numPr>
      </w:pPr>
      <w:r>
        <w:t xml:space="preserve">Partially reproducible (1): The data were normalised but either information about the normalisation procedure is missing, is not provided for all analytical methods, or has to be inferred from other information in the article (e.g. the analytical method).</w:t>
      </w:r>
    </w:p>
    <w:p>
      <w:pPr>
        <w:pStyle w:val="Compact"/>
        <w:numPr>
          <w:ilvl w:val="0"/>
          <w:numId w:val="1008"/>
        </w:numPr>
      </w:pPr>
      <w:r>
        <w:t xml:space="preserve">Not reproducible (0): Indicators for data normalisation exists but neither is information provided nor can it be inferred from other information.</w:t>
      </w:r>
    </w:p>
    <w:bookmarkEnd w:id="34"/>
    <w:bookmarkStart w:id="35" w:name="stage-8-standardised-terminology"/>
    <w:p>
      <w:pPr>
        <w:pStyle w:val="berschrift3"/>
      </w:pPr>
      <w:r>
        <w:t xml:space="preserve">Stage 8: Standardised terminology</w:t>
      </w:r>
    </w:p>
    <w:p>
      <w:pPr>
        <w:pStyle w:val="FirstParagraph"/>
      </w:pPr>
      <w:r>
        <w:t xml:space="preserve">This stage concerns analytical data only (archaeological metadata are discussed in stage 9) and checks whether measurement units are given for any chemical data, such as wt%, at%, mg/kg, µg/g or ppm. The reporting of compositional data in % instead of wt% or, less often, at% is problematic because this distinction has important practical implications. For example, the chemical composition of a phase in at% can be easily converted into its chemical formula, while additional calculations are necessary for data in wt%. Alloy phase diagrams are available for either unit, and letting the re-user decide which one to use cannot be considered as reproducible. Following</w:t>
      </w:r>
      <w:r>
        <w:t xml:space="preserve"> </w:t>
      </w:r>
      <w:r>
        <w:t xml:space="preserve">Roberts et al. (2018)</w:t>
      </w:r>
      <w:r>
        <w:t xml:space="preserve">, for isotope data, δ-values should be reported relative to current international measurement standards and this standard named.</w:t>
      </w:r>
    </w:p>
    <w:p>
      <w:pPr>
        <w:pStyle w:val="Textkrper"/>
      </w:pPr>
      <w:r>
        <w:t xml:space="preserve">No scores of 0 were awarded as most information is usually present and missing information could generally assumed or reconstructed with relative certainty.</w:t>
      </w:r>
    </w:p>
    <w:p>
      <w:pPr>
        <w:pStyle w:val="Compact"/>
        <w:numPr>
          <w:ilvl w:val="0"/>
          <w:numId w:val="1009"/>
        </w:numPr>
      </w:pPr>
      <w:r>
        <w:t xml:space="preserve">Fully reproducible (2): All units are specified, either in-text, in tables, or in visualisations.</w:t>
      </w:r>
    </w:p>
    <w:p>
      <w:pPr>
        <w:pStyle w:val="Compact"/>
        <w:numPr>
          <w:ilvl w:val="0"/>
          <w:numId w:val="1009"/>
        </w:numPr>
      </w:pPr>
      <w:r>
        <w:t xml:space="preserve">Partially reproducible (1): Units and/or terminology are partially specified, or not at all, but can be reconstructed from context (such as analytical technique or data type).</w:t>
      </w:r>
    </w:p>
    <w:bookmarkEnd w:id="35"/>
    <w:bookmarkStart w:id="36" w:name="stage-9-archaeological-metadata"/>
    <w:p>
      <w:pPr>
        <w:pStyle w:val="berschrift3"/>
      </w:pPr>
      <w:r>
        <w:t xml:space="preserve">Stage 9: Archaeological metadata</w:t>
      </w:r>
    </w:p>
    <w:p>
      <w:pPr>
        <w:pStyle w:val="FirstParagraph"/>
      </w:pPr>
      <w:r>
        <w:t xml:space="preserve">The incredible diversity of the publications considered made any attempt at judging the standardisation of terminology or use of thesauri ill-fated. Instead, this stage was used to look at how clearly archaeological metadata were linked to the compositional data and whether the information necessary for any grouping used for statistical analyses or visualisations were provided.</w:t>
      </w:r>
    </w:p>
    <w:p>
      <w:pPr>
        <w:pStyle w:val="Compact"/>
        <w:numPr>
          <w:ilvl w:val="0"/>
          <w:numId w:val="1010"/>
        </w:numPr>
      </w:pPr>
      <w:r>
        <w:t xml:space="preserve">Fully reproducible (2): All necessary metadata are included in the publication and/or its supplements.</w:t>
      </w:r>
    </w:p>
    <w:p>
      <w:pPr>
        <w:pStyle w:val="Compact"/>
        <w:numPr>
          <w:ilvl w:val="0"/>
          <w:numId w:val="1010"/>
        </w:numPr>
      </w:pPr>
      <w:r>
        <w:t xml:space="preserve">Partially reproducible (1): Metadata is not explicitly included in the publication but can be reconstructed from context.</w:t>
      </w:r>
    </w:p>
    <w:p>
      <w:pPr>
        <w:pStyle w:val="Compact"/>
        <w:numPr>
          <w:ilvl w:val="0"/>
          <w:numId w:val="1010"/>
        </w:numPr>
      </w:pPr>
      <w:r>
        <w:t xml:space="preserve">Not reproducible (0): No information is provided, or necessary information is missing,</w:t>
      </w:r>
    </w:p>
    <w:bookmarkEnd w:id="36"/>
    <w:bookmarkStart w:id="37" w:name="Xf0d52874557793306f21c367157ac93b5152774"/>
    <w:p>
      <w:pPr>
        <w:pStyle w:val="berschrift3"/>
      </w:pPr>
      <w:r>
        <w:t xml:space="preserve">Stage 10: Statistical assumptions and data transformation</w:t>
      </w:r>
    </w:p>
    <w:p>
      <w:pPr>
        <w:pStyle w:val="FirstParagraph"/>
      </w:pPr>
      <w:r>
        <w:t xml:space="preserve">This stage targets the documentation of data manipulation in preparation for statistical analyses (stage 11). This may include, wherever appropriate, centred logarithmic transformation, scaling or replacement of values such as zeroes or ”below detection limit”. In cases where no statistics were employed or no data transformation was necessary for the statistics involved, this stage was passed automatically as NA (not applicable).</w:t>
      </w:r>
    </w:p>
    <w:p>
      <w:pPr>
        <w:pStyle w:val="Compact"/>
        <w:numPr>
          <w:ilvl w:val="0"/>
          <w:numId w:val="1011"/>
        </w:numPr>
      </w:pPr>
      <w:r>
        <w:t xml:space="preserve">Fully reproducible (2): Appropriate data transformation is explicitly applied and/or handling of missing values is discussed.</w:t>
      </w:r>
    </w:p>
    <w:p>
      <w:pPr>
        <w:pStyle w:val="Compact"/>
        <w:numPr>
          <w:ilvl w:val="0"/>
          <w:numId w:val="1011"/>
        </w:numPr>
      </w:pPr>
      <w:r>
        <w:t xml:space="preserve">Partially reproducible (1): Appropriate data transformation is explicitly applied and/or handling of missing values is discussed.</w:t>
      </w:r>
    </w:p>
    <w:p>
      <w:pPr>
        <w:pStyle w:val="Compact"/>
        <w:numPr>
          <w:ilvl w:val="0"/>
          <w:numId w:val="1011"/>
        </w:numPr>
      </w:pPr>
      <w:r>
        <w:t xml:space="preserve">Not reproducible (0): No adequate information on data transformation or missing value handling is given.</w:t>
      </w:r>
    </w:p>
    <w:bookmarkEnd w:id="37"/>
    <w:bookmarkStart w:id="38" w:name="stage-11-statistical-methods"/>
    <w:p>
      <w:pPr>
        <w:pStyle w:val="berschrift3"/>
      </w:pPr>
      <w:r>
        <w:t xml:space="preserve">Stage 11: Statistical methods</w:t>
      </w:r>
    </w:p>
    <w:p>
      <w:pPr>
        <w:pStyle w:val="FirstParagraph"/>
      </w:pPr>
      <w:r>
        <w:t xml:space="preserve">This stage applies to the statistical calculations or tests themselves and checks whether enough information is provided to reproduce these. Standard formulae are exempt (e.g., normlisation to chondritic composition; Euclidean distances). For multi-variate statistics, enough description of the parameters and choices needs to be included so that these can be reproduced in full (e.g., specifying Ward’s method for hierarchical clustering analysis, or stating the number of bins in kernel density estimates).</w:t>
      </w:r>
    </w:p>
    <w:p>
      <w:pPr>
        <w:pStyle w:val="Compact"/>
        <w:numPr>
          <w:ilvl w:val="0"/>
          <w:numId w:val="1012"/>
        </w:numPr>
      </w:pPr>
      <w:r>
        <w:t xml:space="preserve">Fully reproducible (2): All necessary supporting information was provided for all statistical methods, and the published outcome can be exactly reproduced.</w:t>
      </w:r>
    </w:p>
    <w:p>
      <w:pPr>
        <w:pStyle w:val="Compact"/>
        <w:numPr>
          <w:ilvl w:val="0"/>
          <w:numId w:val="1012"/>
        </w:numPr>
      </w:pPr>
      <w:r>
        <w:t xml:space="preserve">Partially reproducible (1): Some necessary supporting information was provided for all or some of the statistical methods, and the final output can be approximated.</w:t>
      </w:r>
    </w:p>
    <w:p>
      <w:pPr>
        <w:pStyle w:val="Compact"/>
        <w:numPr>
          <w:ilvl w:val="0"/>
          <w:numId w:val="1012"/>
        </w:numPr>
      </w:pPr>
      <w:r>
        <w:t xml:space="preserve">Not reproducible (0): Some or all of the necessary supporting information for some or all of the statistical methods is missing to the extent that these cannot be approximated.</w:t>
      </w:r>
    </w:p>
    <w:bookmarkEnd w:id="38"/>
    <w:bookmarkStart w:id="39" w:name="stage-12-data-visualisation"/>
    <w:p>
      <w:pPr>
        <w:pStyle w:val="berschrift3"/>
      </w:pPr>
      <w:r>
        <w:t xml:space="preserve">Stage 12: Data visualisation</w:t>
      </w:r>
    </w:p>
    <w:p>
      <w:pPr>
        <w:pStyle w:val="FirstParagraph"/>
      </w:pPr>
      <w:r>
        <w:t xml:space="preserve">This stage builds on the previous two, stage 2 (analytical data) and stage 9 (archaeological metadata), all of which need to be in place for visualisations to be reproduced. Although the inclusion of archaeological metadata to inform iconography in plots was considered, exact cosmetics were not attempted to be reproduced. Comparative data were also not included. Given that many publications produced a range of graphs of similar type (e.g. scatterplots of all possible combinations of isotope ratios), the reproduction effort for visualisations was limited to one of each per visualisation type and data used (in cases of multiple analytical methods). Even though the scoring for this stage was essentially binary (graphs can or cannot be replicated), a score of 1 was awarded to instances where at least some of the visualisations in a publication could be reproduced or reproduction was only possible with significant effort.</w:t>
      </w:r>
    </w:p>
    <w:p>
      <w:pPr>
        <w:pStyle w:val="Compact"/>
        <w:numPr>
          <w:ilvl w:val="0"/>
          <w:numId w:val="1013"/>
        </w:numPr>
      </w:pPr>
      <w:r>
        <w:t xml:space="preserve">Fully reproducible (2): All information needed to reproduce all types of visualisations is included in the article or supplements.</w:t>
      </w:r>
    </w:p>
    <w:p>
      <w:pPr>
        <w:pStyle w:val="Compact"/>
        <w:numPr>
          <w:ilvl w:val="0"/>
          <w:numId w:val="1013"/>
        </w:numPr>
      </w:pPr>
      <w:r>
        <w:t xml:space="preserve">Partially reproducible (1): Most information needed to reproduce most types of visualisations is included in the article or supplements.</w:t>
      </w:r>
    </w:p>
    <w:p>
      <w:pPr>
        <w:pStyle w:val="Compact"/>
        <w:numPr>
          <w:ilvl w:val="0"/>
          <w:numId w:val="1013"/>
        </w:numPr>
      </w:pPr>
      <w:r>
        <w:t xml:space="preserve">Not reproducible (0): Some or all information needed to reproduce all types of visualisations is missing.</w:t>
      </w:r>
    </w:p>
    <w:bookmarkEnd w:id="39"/>
    <w:bookmarkEnd w:id="40"/>
    <w:bookmarkStart w:id="41" w:name="selection-and-retrieval-of-literature"/>
    <w:p>
      <w:pPr>
        <w:pStyle w:val="berschrift2"/>
      </w:pPr>
      <w:r>
        <w:t xml:space="preserve">Selection and retrieval of literature</w:t>
      </w:r>
    </w:p>
    <w:p>
      <w:pPr>
        <w:pStyle w:val="FirstParagraph"/>
      </w:pPr>
      <w:r>
        <w:t xml:space="preserve">This review focuses on papers published between November 24, 2024 and January 31, 2026 that made an original contribution to the field of archaeometallurgy in terms of compositional, elemental or isotopic data in a peer-reviewed journal. This last criterion enabled us to discuss compliance with data availability statements</w:t>
      </w:r>
      <w:r>
        <w:t xml:space="preserve"> </w:t>
      </w:r>
      <w:r>
        <w:t xml:space="preserve">(see Marwick 2025)</w:t>
      </w:r>
      <w:r>
        <w:t xml:space="preserve"> </w:t>
      </w:r>
      <w:r>
        <w:t xml:space="preserve">and to track the increasing use of digital supplements for supporting materials that are still largely out of scope for printed monographs or edited volumes.</w:t>
      </w:r>
    </w:p>
    <w:p>
      <w:pPr>
        <w:pStyle w:val="Textkrper"/>
      </w:pPr>
      <w:r>
        <w:t xml:space="preserve">Metadata records of publications stored by Crossref were searched using the R package</w:t>
      </w:r>
      <w:r>
        <w:t xml:space="preserve"> </w:t>
      </w:r>
      <w:r>
        <w:rPr>
          <w:i/>
          <w:iCs/>
        </w:rPr>
        <w:t xml:space="preserve">rcrossref</w:t>
      </w:r>
      <w:r>
        <w:t xml:space="preserve"> </w:t>
      </w:r>
      <w:r>
        <w:t xml:space="preserve">(Chamberlain et al. 2025)</w:t>
      </w:r>
      <w:r>
        <w:t xml:space="preserve"> </w:t>
      </w:r>
      <w:r>
        <w:t xml:space="preserve">for the chosen timeframe, using several common, but generic search terms related to archaeometallurgical research. 22 journals that regularly feature articles from this field were initially selected for the search, although only ten were included in the final results lists (</w:t>
      </w:r>
      <w:hyperlink w:anchor="tbl-journals">
        <w:r>
          <w:rPr>
            <w:rStyle w:val="Hyperlink"/>
          </w:rPr>
          <w:t xml:space="preserve">Table 1</w:t>
        </w:r>
      </w:hyperlink>
      <w:r>
        <w:t xml:space="preserve">; reasons for exclusion are listed in the digital compendium: ###). The resulting dataset was further narrowed down based on a list of iteratively determined keywords to remove non-article publications such as editorials and comments as well as articles not related to archaeometallurgy. These filters, as well as the complete list of journals that were surveyed are included in the digital compendium (###). During the analytical stage of this study, it was found that some non-metallurgical papers still passed the filters and that the initial dataset also included several publications that were topically within scope, but did not include original data (regional studies, re-analyses of previous work, exclusive use of legacy data). These were removed manually by their DOI.</w:t>
      </w:r>
    </w:p>
    <w:p>
      <w:pPr>
        <w:pStyle w:val="Textkrper"/>
      </w:pPr>
      <w:r>
        <w:t xml:space="preserve">An initial export of the data frame including the date of deposit, journal and article title; DOI and ISSN of each filtered publication was used to retrieve its full text, track comments and scores for the reproducibility index, and an arbitrary unique identifier. Except for the latter, all identifying information was removed before publication of the final dataset.</w:t>
      </w:r>
    </w:p>
    <w:bookmarkEnd w:id="41"/>
    <w:bookmarkEnd w:id="42"/>
    <w:bookmarkStart w:id="82" w:name="results"/>
    <w:p>
      <w:pPr>
        <w:pStyle w:val="berschrift1"/>
      </w:pPr>
      <w:r>
        <w:t xml:space="preserve">Results</w:t>
      </w:r>
    </w:p>
    <w:bookmarkStart w:id="44" w:name="collected-literature"/>
    <w:p>
      <w:pPr>
        <w:pStyle w:val="berschrift2"/>
      </w:pPr>
      <w:r>
        <w:t xml:space="preserve">Collected literature</w:t>
      </w:r>
    </w:p>
    <w:p>
      <w:pPr>
        <w:pStyle w:val="FirstParagraph"/>
      </w:pPr>
      <w:r>
        <w:t xml:space="preserve">Over half of the included articles were published in two journals: Archaeological and Anthropological Sciences and Journal of Archaeological Science: Reports (</w:t>
      </w:r>
      <w:hyperlink w:anchor="tbl-journals">
        <w:r>
          <w:rPr>
            <w:rStyle w:val="Hyperlink"/>
          </w:rPr>
          <w:t xml:space="preserve">Table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3" w:name="tbl-journals"/>
          <w:p>
            <w:pPr>
              <w:jc w:val="center"/>
            </w:pPr>
            <w:pPr>
              <w:jc w:val="left"/>
              <w:spacing w:before="200"/>
              <w:pStyle w:val="ImageCaption"/>
            </w:pPr>
            <w:r>
              <w:t xml:space="preserve">Table 1: Number of articles per journal surveyed for this study.</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center"/>
                  </w:pPr>
                  <w:r>
                    <w:t xml:space="preserve">Journal Title</w:t>
                  </w:r>
                </w:p>
              </w:tc>
              <w:tc>
                <w:tcPr/>
                <w:p>
                  <w:pPr>
                    <w:pStyle w:val="Compact"/>
                    <w:jc w:val="right"/>
                    <w:jc w:val="center"/>
                  </w:pPr>
                  <w:r>
                    <w:t xml:space="preserve">Number of publications found</w:t>
                  </w:r>
                </w:p>
              </w:tc>
            </w:tr>
            <w:tr>
              <w:tc>
                <w:tcPr/>
                <w:p>
                  <w:pPr>
                    <w:pStyle w:val="Compact"/>
                    <w:jc w:val="left"/>
                    <w:jc w:val="center"/>
                  </w:pPr>
                  <w:r>
                    <w:t xml:space="preserve">Archaeological and Anthropological Sciences</w:t>
                  </w:r>
                </w:p>
              </w:tc>
              <w:tc>
                <w:tcPr/>
                <w:p>
                  <w:pPr>
                    <w:pStyle w:val="Compact"/>
                    <w:jc w:val="right"/>
                    <w:jc w:val="center"/>
                  </w:pPr>
                  <w:r>
                    <w:t xml:space="preserve">38</w:t>
                  </w:r>
                </w:p>
              </w:tc>
            </w:tr>
            <w:tr>
              <w:tc>
                <w:tcPr/>
                <w:p>
                  <w:pPr>
                    <w:pStyle w:val="Compact"/>
                    <w:jc w:val="left"/>
                    <w:jc w:val="center"/>
                  </w:pPr>
                  <w:r>
                    <w:t xml:space="preserve">Journal of Archaeological Science: Reports</w:t>
                  </w:r>
                </w:p>
              </w:tc>
              <w:tc>
                <w:tcPr/>
                <w:p>
                  <w:pPr>
                    <w:pStyle w:val="Compact"/>
                    <w:jc w:val="right"/>
                    <w:jc w:val="center"/>
                  </w:pPr>
                  <w:r>
                    <w:t xml:space="preserve">26</w:t>
                  </w:r>
                </w:p>
              </w:tc>
            </w:tr>
            <w:tr>
              <w:tc>
                <w:tcPr/>
                <w:p>
                  <w:pPr>
                    <w:pStyle w:val="Compact"/>
                    <w:jc w:val="left"/>
                    <w:jc w:val="center"/>
                  </w:pPr>
                  <w:r>
                    <w:t xml:space="preserve">Archaeometry</w:t>
                  </w:r>
                </w:p>
              </w:tc>
              <w:tc>
                <w:tcPr/>
                <w:p>
                  <w:pPr>
                    <w:pStyle w:val="Compact"/>
                    <w:jc w:val="right"/>
                    <w:jc w:val="center"/>
                  </w:pPr>
                  <w:r>
                    <w:t xml:space="preserve">15</w:t>
                  </w:r>
                </w:p>
              </w:tc>
            </w:tr>
            <w:tr>
              <w:tc>
                <w:tcPr/>
                <w:p>
                  <w:pPr>
                    <w:pStyle w:val="Compact"/>
                    <w:jc w:val="left"/>
                    <w:jc w:val="center"/>
                  </w:pPr>
                  <w:r>
                    <w:t xml:space="preserve">Journal of Archaeological Science</w:t>
                  </w:r>
                </w:p>
              </w:tc>
              <w:tc>
                <w:tcPr/>
                <w:p>
                  <w:pPr>
                    <w:pStyle w:val="Compact"/>
                    <w:jc w:val="right"/>
                    <w:jc w:val="center"/>
                  </w:pPr>
                  <w:r>
                    <w:t xml:space="preserve">8</w:t>
                  </w:r>
                </w:p>
              </w:tc>
            </w:tr>
            <w:tr>
              <w:tc>
                <w:tcPr/>
                <w:p>
                  <w:pPr>
                    <w:pStyle w:val="Compact"/>
                    <w:jc w:val="left"/>
                    <w:jc w:val="center"/>
                  </w:pPr>
                  <w:r>
                    <w:t xml:space="preserve">Historical Metallurgy</w:t>
                  </w:r>
                </w:p>
              </w:tc>
              <w:tc>
                <w:tcPr/>
                <w:p>
                  <w:pPr>
                    <w:pStyle w:val="Compact"/>
                    <w:jc w:val="right"/>
                    <w:jc w:val="center"/>
                  </w:pPr>
                  <w:r>
                    <w:t xml:space="preserve">4</w:t>
                  </w:r>
                </w:p>
              </w:tc>
            </w:tr>
            <w:tr>
              <w:tc>
                <w:tcPr/>
                <w:p>
                  <w:pPr>
                    <w:pStyle w:val="Compact"/>
                    <w:jc w:val="left"/>
                    <w:jc w:val="center"/>
                  </w:pPr>
                  <w:r>
                    <w:t xml:space="preserve">METALLA</w:t>
                  </w:r>
                </w:p>
              </w:tc>
              <w:tc>
                <w:tcPr/>
                <w:p>
                  <w:pPr>
                    <w:pStyle w:val="Compact"/>
                    <w:jc w:val="right"/>
                    <w:jc w:val="center"/>
                  </w:pPr>
                  <w:r>
                    <w:t xml:space="preserve">3</w:t>
                  </w:r>
                </w:p>
              </w:tc>
            </w:tr>
            <w:tr>
              <w:tc>
                <w:tcPr/>
                <w:p>
                  <w:pPr>
                    <w:pStyle w:val="Compact"/>
                    <w:jc w:val="left"/>
                    <w:jc w:val="center"/>
                  </w:pPr>
                  <w:r>
                    <w:t xml:space="preserve">Journal of Archaeological Method and Theory</w:t>
                  </w:r>
                </w:p>
              </w:tc>
              <w:tc>
                <w:tcPr/>
                <w:p>
                  <w:pPr>
                    <w:pStyle w:val="Compact"/>
                    <w:jc w:val="right"/>
                    <w:jc w:val="center"/>
                  </w:pPr>
                  <w:r>
                    <w:t xml:space="preserve">2</w:t>
                  </w:r>
                </w:p>
              </w:tc>
            </w:tr>
            <w:tr>
              <w:tc>
                <w:tcPr/>
                <w:p>
                  <w:pPr>
                    <w:pStyle w:val="Compact"/>
                    <w:jc w:val="left"/>
                    <w:jc w:val="center"/>
                  </w:pPr>
                  <w:r>
                    <w:t xml:space="preserve">Journal of World Prehistory</w:t>
                  </w:r>
                </w:p>
              </w:tc>
              <w:tc>
                <w:tcPr/>
                <w:p>
                  <w:pPr>
                    <w:pStyle w:val="Compact"/>
                    <w:jc w:val="right"/>
                    <w:jc w:val="center"/>
                  </w:pPr>
                  <w:r>
                    <w:t xml:space="preserve">2</w:t>
                  </w:r>
                </w:p>
              </w:tc>
            </w:tr>
            <w:tr>
              <w:tc>
                <w:tcPr/>
                <w:p>
                  <w:pPr>
                    <w:pStyle w:val="Compact"/>
                    <w:jc w:val="left"/>
                    <w:jc w:val="center"/>
                  </w:pPr>
                  <w:r>
                    <w:t xml:space="preserve">Advances in Archaeomaterials</w:t>
                  </w:r>
                </w:p>
              </w:tc>
              <w:tc>
                <w:tcPr/>
                <w:p>
                  <w:pPr>
                    <w:pStyle w:val="Compact"/>
                    <w:jc w:val="right"/>
                    <w:jc w:val="center"/>
                  </w:pPr>
                  <w:r>
                    <w:t xml:space="preserve">2</w:t>
                  </w:r>
                </w:p>
              </w:tc>
            </w:tr>
            <w:tr>
              <w:tc>
                <w:tcPr/>
                <w:p>
                  <w:pPr>
                    <w:pStyle w:val="Compact"/>
                    <w:jc w:val="left"/>
                    <w:jc w:val="center"/>
                  </w:pPr>
                  <w:r>
                    <w:t xml:space="preserve">STAR: Science &amp; Technology of Archaeological Research</w:t>
                  </w:r>
                </w:p>
              </w:tc>
              <w:tc>
                <w:tcPr/>
                <w:p>
                  <w:pPr>
                    <w:pStyle w:val="Compact"/>
                    <w:jc w:val="right"/>
                    <w:jc w:val="center"/>
                  </w:pPr>
                  <w:r>
                    <w:t xml:space="preserve">1</w:t>
                  </w:r>
                </w:p>
              </w:tc>
            </w:tr>
            <w:tr>
              <w:tc>
                <w:tcPr/>
                <w:p>
                  <w:pPr>
                    <w:pStyle w:val="Compact"/>
                    <w:jc w:val="left"/>
                    <w:jc w:val="center"/>
                  </w:pPr>
                  <w:r>
                    <w:t xml:space="preserve">Total</w:t>
                  </w:r>
                </w:p>
              </w:tc>
              <w:tc>
                <w:tcPr/>
                <w:p>
                  <w:pPr>
                    <w:pStyle w:val="Compact"/>
                    <w:jc w:val="right"/>
                    <w:jc w:val="center"/>
                  </w:pPr>
                  <w:r>
                    <w:t xml:space="preserve">100</w:t>
                  </w:r>
                </w:p>
              </w:tc>
            </w:tr>
          </w:tbl>
          <w:bookmarkEnd w:id="43"/>
          <w:p/>
        </w:tc>
      </w:tr>
    </w:tbl>
    <w:p>
      <w:pPr>
        <w:pStyle w:val="Textkrper"/>
      </w:pPr>
      <w:r>
        <w:t xml:space="preserve">These articles contain a variety of research aims and methodologies, including provenance studies, site reports, regional studies and experimental archaeology. The most commonly studied metals in compositional analyses were iron and copper alloys. Isotope research was mostly confined to lead isotopes, although a few articles also employed tin isotope analysis and one employed osmium isotope analysis. The analytical techniques to obtain compositional and isotope data that were encountered are, in no particular order: XRD, hh/p-XRF, ED-XRF, WD-XRF, µ-XRF, PIXE(-XRF), SEM-EDS/EDX, (p)FIB, XPS, ICP-MS, ICP-QMS, SC-ICP-MS, LA-ICP-MS, MC-ICP-MS, HR-ICP-MS, TIMS, AFM, INAA, PGAA, ICP-OES, ICP-AES, MP-AES and FAAS. The majority of articles that were surveyed employed more than one technique, with many studies combining some level of invasive sampling with non-invasive survey techniques or combining compositional analysis of the bulk metal with isotope analysis.</w:t>
      </w:r>
    </w:p>
    <w:bookmarkEnd w:id="44"/>
    <w:bookmarkStart w:id="81" w:name="reproducibility-index-scores"/>
    <w:p>
      <w:pPr>
        <w:pStyle w:val="berschrift2"/>
      </w:pPr>
      <w:r>
        <w:t xml:space="preserve">Reproducibility index: scores</w:t>
      </w:r>
    </w:p>
    <w:p>
      <w:pPr>
        <w:pStyle w:val="FirstParagraph"/>
      </w:pPr>
      <w:r>
        <w:t xml:space="preserve">Articles, including their supplements, were evaluated against the index with all information taken at face-value. No statement or judgement was made on the content of the articles that were reviewed, or of the methods or techniques chosen beyond the formal aspects of reproducibility/replicability. However, the level of friction or difficulty that was encountered in the reproduction attempt was taken into consideration. The more steps that needed to be taken to find data, export it into a usable format, collate it with the relevant metadata etc., the higher the risk of incurring human-introduced errors. Ambiguous language when describing certain steps, from analytical protocols to data transformation choices, was also sometimes cause for lowering the score because the choices made by the original researcher could not be distilled from the writing with certainty, impacting our ability to reproduce the results with confidence.</w:t>
      </w:r>
    </w:p>
    <w:p>
      <w:pPr>
        <w:pStyle w:val="Textkrper"/>
      </w:pPr>
      <w:r>
        <w:t xml:space="preserve">A total of 26 points could be scored across the index, two for each stage.</w:t>
      </w:r>
      <w:r>
        <w:t xml:space="preserve"> </w:t>
      </w:r>
      <w:hyperlink w:anchor="tbl-summary-stats">
        <w:r>
          <w:rPr>
            <w:rStyle w:val="Hyperlink"/>
          </w:rPr>
          <w:t xml:space="preserve">Table 2</w:t>
        </w:r>
      </w:hyperlink>
      <w:r>
        <w:t xml:space="preserve"> </w:t>
      </w:r>
      <w:r>
        <w:t xml:space="preserve">presents the summary statistics of how the 100 selected publications performed on average and overall, with no scores awarded (NA) to stages that did not apply. The highest overall score was 25, which was only awarded once, the lowest awarded score was 10, and the mean reproducibility score across all publications was 16.3. No single publication scored a two across the board. Mean scores per article range between 0.91 and 1.92, with scores around 1.52 being the most common (</w:t>
      </w:r>
      <w:hyperlink w:anchor="fig-histogram">
        <w:r>
          <w:rPr>
            <w:rStyle w:val="Hyperlink"/>
          </w:rPr>
          <w:t xml:space="preserve">Figure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5" w:name="tbl-summary-stats"/>
          <w:p>
            <w:pPr>
              <w:jc w:val="center"/>
            </w:pPr>
            <w:pPr>
              <w:jc w:val="left"/>
              <w:spacing w:before="200"/>
              <w:pStyle w:val="ImageCaption"/>
            </w:pPr>
            <w:r>
              <w:t xml:space="preserve">Table 2: Descriptive statistics for the surveyed articles per stage and as total.</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jc w:val="center"/>
                  </w:pPr>
                  <w:r>
                    <w:t xml:space="preserve">Stage</w:t>
                  </w:r>
                </w:p>
              </w:tc>
              <w:tc>
                <w:tcPr/>
                <w:p>
                  <w:pPr>
                    <w:pStyle w:val="Compact"/>
                    <w:jc w:val="right"/>
                    <w:jc w:val="center"/>
                  </w:pPr>
                  <w:r>
                    <w:t xml:space="preserve">n</w:t>
                  </w:r>
                </w:p>
              </w:tc>
              <w:tc>
                <w:tcPr/>
                <w:p>
                  <w:pPr>
                    <w:pStyle w:val="Compact"/>
                    <w:jc w:val="right"/>
                    <w:jc w:val="center"/>
                  </w:pPr>
                  <w:r>
                    <w:t xml:space="preserve">Mean</w:t>
                  </w:r>
                </w:p>
              </w:tc>
              <w:tc>
                <w:tcPr/>
                <w:p>
                  <w:pPr>
                    <w:pStyle w:val="Compact"/>
                    <w:jc w:val="right"/>
                    <w:jc w:val="center"/>
                  </w:pPr>
                  <w:r>
                    <w:t xml:space="preserve">Median</w:t>
                  </w:r>
                </w:p>
              </w:tc>
              <w:tc>
                <w:tcPr/>
                <w:p>
                  <w:pPr>
                    <w:pStyle w:val="Compact"/>
                    <w:jc w:val="right"/>
                    <w:jc w:val="center"/>
                  </w:pPr>
                  <w:r>
                    <w:t xml:space="preserve">Minimum</w:t>
                  </w:r>
                </w:p>
              </w:tc>
              <w:tc>
                <w:tcPr/>
                <w:p>
                  <w:pPr>
                    <w:pStyle w:val="Compact"/>
                    <w:jc w:val="right"/>
                    <w:jc w:val="center"/>
                  </w:pPr>
                  <w:r>
                    <w:t xml:space="preserve">Maximum</w:t>
                  </w:r>
                </w:p>
              </w:tc>
            </w:tr>
            <w:tr>
              <w:tc>
                <w:tcPr/>
                <w:p>
                  <w:pPr>
                    <w:pStyle w:val="Compact"/>
                    <w:jc w:val="left"/>
                    <w:jc w:val="center"/>
                  </w:pPr>
                  <w:r>
                    <w:t xml:space="preserve">Stage 0</w:t>
                  </w:r>
                </w:p>
              </w:tc>
              <w:tc>
                <w:tcPr/>
                <w:p>
                  <w:pPr>
                    <w:pStyle w:val="Compact"/>
                    <w:jc w:val="right"/>
                    <w:jc w:val="center"/>
                  </w:pPr>
                  <w:r>
                    <w:t xml:space="preserve">100</w:t>
                  </w:r>
                </w:p>
              </w:tc>
              <w:tc>
                <w:tcPr/>
                <w:p>
                  <w:pPr>
                    <w:pStyle w:val="Compact"/>
                    <w:jc w:val="right"/>
                    <w:jc w:val="center"/>
                  </w:pPr>
                  <w:r>
                    <w:t xml:space="preserve">1.38</w:t>
                  </w:r>
                </w:p>
              </w:tc>
              <w:tc>
                <w:tcPr/>
                <w:p>
                  <w:pPr>
                    <w:pStyle w:val="Compact"/>
                    <w:jc w:val="right"/>
                    <w:jc w:val="center"/>
                  </w:pPr>
                  <w:r>
                    <w:t xml:space="preserve">1.0</w:t>
                  </w:r>
                </w:p>
              </w:tc>
              <w:tc>
                <w:tcPr/>
                <w:p>
                  <w:pPr>
                    <w:pStyle w:val="Compact"/>
                    <w:jc w:val="right"/>
                    <w:jc w:val="center"/>
                  </w:pPr>
                  <w:r>
                    <w:t xml:space="preserve">0</w:t>
                  </w:r>
                </w:p>
              </w:tc>
              <w:tc>
                <w:tcPr/>
                <w:p>
                  <w:pPr>
                    <w:pStyle w:val="Compact"/>
                    <w:jc w:val="right"/>
                    <w:jc w:val="center"/>
                  </w:pPr>
                  <w:r>
                    <w:t xml:space="preserve">2</w:t>
                  </w:r>
                </w:p>
              </w:tc>
            </w:tr>
            <w:tr>
              <w:tc>
                <w:tcPr/>
                <w:p>
                  <w:pPr>
                    <w:pStyle w:val="Compact"/>
                    <w:jc w:val="left"/>
                    <w:jc w:val="center"/>
                  </w:pPr>
                  <w:r>
                    <w:t xml:space="preserve">Stage 1</w:t>
                  </w:r>
                </w:p>
              </w:tc>
              <w:tc>
                <w:tcPr/>
                <w:p>
                  <w:pPr>
                    <w:pStyle w:val="Compact"/>
                    <w:jc w:val="right"/>
                    <w:jc w:val="center"/>
                  </w:pPr>
                  <w:r>
                    <w:t xml:space="preserve">100</w:t>
                  </w:r>
                </w:p>
              </w:tc>
              <w:tc>
                <w:tcPr/>
                <w:p>
                  <w:pPr>
                    <w:pStyle w:val="Compact"/>
                    <w:jc w:val="right"/>
                    <w:jc w:val="center"/>
                  </w:pPr>
                  <w:r>
                    <w:t xml:space="preserve">1.48</w:t>
                  </w:r>
                </w:p>
              </w:tc>
              <w:tc>
                <w:tcPr/>
                <w:p>
                  <w:pPr>
                    <w:pStyle w:val="Compact"/>
                    <w:jc w:val="right"/>
                    <w:jc w:val="center"/>
                  </w:pPr>
                  <w:r>
                    <w:t xml:space="preserve">1.5</w:t>
                  </w:r>
                </w:p>
              </w:tc>
              <w:tc>
                <w:tcPr/>
                <w:p>
                  <w:pPr>
                    <w:pStyle w:val="Compact"/>
                    <w:jc w:val="right"/>
                    <w:jc w:val="center"/>
                  </w:pPr>
                  <w:r>
                    <w:t xml:space="preserve">0</w:t>
                  </w:r>
                </w:p>
              </w:tc>
              <w:tc>
                <w:tcPr/>
                <w:p>
                  <w:pPr>
                    <w:pStyle w:val="Compact"/>
                    <w:jc w:val="right"/>
                    <w:jc w:val="center"/>
                  </w:pPr>
                  <w:r>
                    <w:t xml:space="preserve">2</w:t>
                  </w:r>
                </w:p>
              </w:tc>
            </w:tr>
            <w:tr>
              <w:tc>
                <w:tcPr/>
                <w:p>
                  <w:pPr>
                    <w:pStyle w:val="Compact"/>
                    <w:jc w:val="left"/>
                    <w:jc w:val="center"/>
                  </w:pPr>
                  <w:r>
                    <w:t xml:space="preserve">Stage 2</w:t>
                  </w:r>
                </w:p>
              </w:tc>
              <w:tc>
                <w:tcPr/>
                <w:p>
                  <w:pPr>
                    <w:pStyle w:val="Compact"/>
                    <w:jc w:val="right"/>
                    <w:jc w:val="center"/>
                  </w:pPr>
                  <w:r>
                    <w:t xml:space="preserve">100</w:t>
                  </w:r>
                </w:p>
              </w:tc>
              <w:tc>
                <w:tcPr/>
                <w:p>
                  <w:pPr>
                    <w:pStyle w:val="Compact"/>
                    <w:jc w:val="right"/>
                    <w:jc w:val="center"/>
                  </w:pPr>
                  <w:r>
                    <w:t xml:space="preserve">1.20</w:t>
                  </w:r>
                </w:p>
              </w:tc>
              <w:tc>
                <w:tcPr/>
                <w:p>
                  <w:pPr>
                    <w:pStyle w:val="Compact"/>
                    <w:jc w:val="right"/>
                    <w:jc w:val="center"/>
                  </w:pPr>
                  <w:r>
                    <w:t xml:space="preserve">1.0</w:t>
                  </w:r>
                </w:p>
              </w:tc>
              <w:tc>
                <w:tcPr/>
                <w:p>
                  <w:pPr>
                    <w:pStyle w:val="Compact"/>
                    <w:jc w:val="right"/>
                    <w:jc w:val="center"/>
                  </w:pPr>
                  <w:r>
                    <w:t xml:space="preserve">0</w:t>
                  </w:r>
                </w:p>
              </w:tc>
              <w:tc>
                <w:tcPr/>
                <w:p>
                  <w:pPr>
                    <w:pStyle w:val="Compact"/>
                    <w:jc w:val="right"/>
                    <w:jc w:val="center"/>
                  </w:pPr>
                  <w:r>
                    <w:t xml:space="preserve">2</w:t>
                  </w:r>
                </w:p>
              </w:tc>
            </w:tr>
            <w:tr>
              <w:tc>
                <w:tcPr/>
                <w:p>
                  <w:pPr>
                    <w:pStyle w:val="Compact"/>
                    <w:jc w:val="left"/>
                    <w:jc w:val="center"/>
                  </w:pPr>
                  <w:r>
                    <w:t xml:space="preserve">Stage 3</w:t>
                  </w:r>
                </w:p>
              </w:tc>
              <w:tc>
                <w:tcPr/>
                <w:p>
                  <w:pPr>
                    <w:pStyle w:val="Compact"/>
                    <w:jc w:val="right"/>
                    <w:jc w:val="center"/>
                  </w:pPr>
                  <w:r>
                    <w:t xml:space="preserve">58</w:t>
                  </w:r>
                </w:p>
              </w:tc>
              <w:tc>
                <w:tcPr/>
                <w:p>
                  <w:pPr>
                    <w:pStyle w:val="Compact"/>
                    <w:jc w:val="right"/>
                    <w:jc w:val="center"/>
                  </w:pPr>
                  <w:r>
                    <w:t xml:space="preserve">1.67</w:t>
                  </w:r>
                </w:p>
              </w:tc>
              <w:tc>
                <w:tcPr/>
                <w:p>
                  <w:pPr>
                    <w:pStyle w:val="Compact"/>
                    <w:jc w:val="right"/>
                    <w:jc w:val="center"/>
                  </w:pPr>
                  <w:r>
                    <w:t xml:space="preserve">2.0</w:t>
                  </w:r>
                </w:p>
              </w:tc>
              <w:tc>
                <w:tcPr/>
                <w:p>
                  <w:pPr>
                    <w:pStyle w:val="Compact"/>
                    <w:jc w:val="right"/>
                    <w:jc w:val="center"/>
                  </w:pPr>
                  <w:r>
                    <w:t xml:space="preserve">0</w:t>
                  </w:r>
                </w:p>
              </w:tc>
              <w:tc>
                <w:tcPr/>
                <w:p>
                  <w:pPr>
                    <w:pStyle w:val="Compact"/>
                    <w:jc w:val="right"/>
                    <w:jc w:val="center"/>
                  </w:pPr>
                  <w:r>
                    <w:t xml:space="preserve">2</w:t>
                  </w:r>
                </w:p>
              </w:tc>
            </w:tr>
            <w:tr>
              <w:tc>
                <w:tcPr/>
                <w:p>
                  <w:pPr>
                    <w:pStyle w:val="Compact"/>
                    <w:jc w:val="left"/>
                    <w:jc w:val="center"/>
                  </w:pPr>
                  <w:r>
                    <w:t xml:space="preserve">Stage 4</w:t>
                  </w:r>
                </w:p>
              </w:tc>
              <w:tc>
                <w:tcPr/>
                <w:p>
                  <w:pPr>
                    <w:pStyle w:val="Compact"/>
                    <w:jc w:val="right"/>
                    <w:jc w:val="center"/>
                  </w:pPr>
                  <w:r>
                    <w:t xml:space="preserve">100</w:t>
                  </w:r>
                </w:p>
              </w:tc>
              <w:tc>
                <w:tcPr/>
                <w:p>
                  <w:pPr>
                    <w:pStyle w:val="Compact"/>
                    <w:jc w:val="right"/>
                    <w:jc w:val="center"/>
                  </w:pPr>
                  <w:r>
                    <w:t xml:space="preserve">1.49</w:t>
                  </w:r>
                </w:p>
              </w:tc>
              <w:tc>
                <w:tcPr/>
                <w:p>
                  <w:pPr>
                    <w:pStyle w:val="Compact"/>
                    <w:jc w:val="right"/>
                    <w:jc w:val="center"/>
                  </w:pPr>
                  <w:r>
                    <w:t xml:space="preserve">1.5</w:t>
                  </w:r>
                </w:p>
              </w:tc>
              <w:tc>
                <w:tcPr/>
                <w:p>
                  <w:pPr>
                    <w:pStyle w:val="Compact"/>
                    <w:jc w:val="right"/>
                    <w:jc w:val="center"/>
                  </w:pPr>
                  <w:r>
                    <w:t xml:space="preserve">0</w:t>
                  </w:r>
                </w:p>
              </w:tc>
              <w:tc>
                <w:tcPr/>
                <w:p>
                  <w:pPr>
                    <w:pStyle w:val="Compact"/>
                    <w:jc w:val="right"/>
                    <w:jc w:val="center"/>
                  </w:pPr>
                  <w:r>
                    <w:t xml:space="preserve">2</w:t>
                  </w:r>
                </w:p>
              </w:tc>
            </w:tr>
            <w:tr>
              <w:tc>
                <w:tcPr/>
                <w:p>
                  <w:pPr>
                    <w:pStyle w:val="Compact"/>
                    <w:jc w:val="left"/>
                    <w:jc w:val="center"/>
                  </w:pPr>
                  <w:r>
                    <w:t xml:space="preserve">Stage 5</w:t>
                  </w:r>
                </w:p>
              </w:tc>
              <w:tc>
                <w:tcPr/>
                <w:p>
                  <w:pPr>
                    <w:pStyle w:val="Compact"/>
                    <w:jc w:val="right"/>
                    <w:jc w:val="center"/>
                  </w:pPr>
                  <w:r>
                    <w:t xml:space="preserve">100</w:t>
                  </w:r>
                </w:p>
              </w:tc>
              <w:tc>
                <w:tcPr/>
                <w:p>
                  <w:pPr>
                    <w:pStyle w:val="Compact"/>
                    <w:jc w:val="right"/>
                    <w:jc w:val="center"/>
                  </w:pPr>
                  <w:r>
                    <w:t xml:space="preserve">1.20</w:t>
                  </w:r>
                </w:p>
              </w:tc>
              <w:tc>
                <w:tcPr/>
                <w:p>
                  <w:pPr>
                    <w:pStyle w:val="Compact"/>
                    <w:jc w:val="right"/>
                    <w:jc w:val="center"/>
                  </w:pPr>
                  <w:r>
                    <w:t xml:space="preserve">1.0</w:t>
                  </w:r>
                </w:p>
              </w:tc>
              <w:tc>
                <w:tcPr/>
                <w:p>
                  <w:pPr>
                    <w:pStyle w:val="Compact"/>
                    <w:jc w:val="right"/>
                    <w:jc w:val="center"/>
                  </w:pPr>
                  <w:r>
                    <w:t xml:space="preserve">0</w:t>
                  </w:r>
                </w:p>
              </w:tc>
              <w:tc>
                <w:tcPr/>
                <w:p>
                  <w:pPr>
                    <w:pStyle w:val="Compact"/>
                    <w:jc w:val="right"/>
                    <w:jc w:val="center"/>
                  </w:pPr>
                  <w:r>
                    <w:t xml:space="preserve">2</w:t>
                  </w:r>
                </w:p>
              </w:tc>
            </w:tr>
            <w:tr>
              <w:tc>
                <w:tcPr/>
                <w:p>
                  <w:pPr>
                    <w:pStyle w:val="Compact"/>
                    <w:jc w:val="left"/>
                    <w:jc w:val="center"/>
                  </w:pPr>
                  <w:r>
                    <w:t xml:space="preserve">Stage 6</w:t>
                  </w:r>
                </w:p>
              </w:tc>
              <w:tc>
                <w:tcPr/>
                <w:p>
                  <w:pPr>
                    <w:pStyle w:val="Compact"/>
                    <w:jc w:val="right"/>
                    <w:jc w:val="center"/>
                  </w:pPr>
                  <w:r>
                    <w:t xml:space="preserve">100</w:t>
                  </w:r>
                </w:p>
              </w:tc>
              <w:tc>
                <w:tcPr/>
                <w:p>
                  <w:pPr>
                    <w:pStyle w:val="Compact"/>
                    <w:jc w:val="right"/>
                    <w:jc w:val="center"/>
                  </w:pPr>
                  <w:r>
                    <w:t xml:space="preserve">1.99</w:t>
                  </w:r>
                </w:p>
              </w:tc>
              <w:tc>
                <w:tcPr/>
                <w:p>
                  <w:pPr>
                    <w:pStyle w:val="Compact"/>
                    <w:jc w:val="right"/>
                    <w:jc w:val="center"/>
                  </w:pPr>
                  <w:r>
                    <w:t xml:space="preserve">2.0</w:t>
                  </w:r>
                </w:p>
              </w:tc>
              <w:tc>
                <w:tcPr/>
                <w:p>
                  <w:pPr>
                    <w:pStyle w:val="Compact"/>
                    <w:jc w:val="right"/>
                    <w:jc w:val="center"/>
                  </w:pPr>
                  <w:r>
                    <w:t xml:space="preserve">1</w:t>
                  </w:r>
                </w:p>
              </w:tc>
              <w:tc>
                <w:tcPr/>
                <w:p>
                  <w:pPr>
                    <w:pStyle w:val="Compact"/>
                    <w:jc w:val="right"/>
                    <w:jc w:val="center"/>
                  </w:pPr>
                  <w:r>
                    <w:t xml:space="preserve">2</w:t>
                  </w:r>
                </w:p>
              </w:tc>
            </w:tr>
            <w:tr>
              <w:tc>
                <w:tcPr/>
                <w:p>
                  <w:pPr>
                    <w:pStyle w:val="Compact"/>
                    <w:jc w:val="left"/>
                    <w:jc w:val="center"/>
                  </w:pPr>
                  <w:r>
                    <w:t xml:space="preserve">Stage 7</w:t>
                  </w:r>
                </w:p>
              </w:tc>
              <w:tc>
                <w:tcPr/>
                <w:p>
                  <w:pPr>
                    <w:pStyle w:val="Compact"/>
                    <w:jc w:val="right"/>
                    <w:jc w:val="center"/>
                  </w:pPr>
                  <w:r>
                    <w:t xml:space="preserve">100</w:t>
                  </w:r>
                </w:p>
              </w:tc>
              <w:tc>
                <w:tcPr/>
                <w:p>
                  <w:pPr>
                    <w:pStyle w:val="Compact"/>
                    <w:jc w:val="right"/>
                    <w:jc w:val="center"/>
                  </w:pPr>
                  <w:r>
                    <w:t xml:space="preserve">1.34</w:t>
                  </w:r>
                </w:p>
              </w:tc>
              <w:tc>
                <w:tcPr/>
                <w:p>
                  <w:pPr>
                    <w:pStyle w:val="Compact"/>
                    <w:jc w:val="right"/>
                    <w:jc w:val="center"/>
                  </w:pPr>
                  <w:r>
                    <w:t xml:space="preserve">1.0</w:t>
                  </w:r>
                </w:p>
              </w:tc>
              <w:tc>
                <w:tcPr/>
                <w:p>
                  <w:pPr>
                    <w:pStyle w:val="Compact"/>
                    <w:jc w:val="right"/>
                    <w:jc w:val="center"/>
                  </w:pPr>
                  <w:r>
                    <w:t xml:space="preserve">1</w:t>
                  </w:r>
                </w:p>
              </w:tc>
              <w:tc>
                <w:tcPr/>
                <w:p>
                  <w:pPr>
                    <w:pStyle w:val="Compact"/>
                    <w:jc w:val="right"/>
                    <w:jc w:val="center"/>
                  </w:pPr>
                  <w:r>
                    <w:t xml:space="preserve">2</w:t>
                  </w:r>
                </w:p>
              </w:tc>
            </w:tr>
            <w:tr>
              <w:tc>
                <w:tcPr/>
                <w:p>
                  <w:pPr>
                    <w:pStyle w:val="Compact"/>
                    <w:jc w:val="left"/>
                    <w:jc w:val="center"/>
                  </w:pPr>
                  <w:r>
                    <w:t xml:space="preserve">Stage 8</w:t>
                  </w:r>
                </w:p>
              </w:tc>
              <w:tc>
                <w:tcPr/>
                <w:p>
                  <w:pPr>
                    <w:pStyle w:val="Compact"/>
                    <w:jc w:val="right"/>
                    <w:jc w:val="center"/>
                  </w:pPr>
                  <w:r>
                    <w:t xml:space="preserve">100</w:t>
                  </w:r>
                </w:p>
              </w:tc>
              <w:tc>
                <w:tcPr/>
                <w:p>
                  <w:pPr>
                    <w:pStyle w:val="Compact"/>
                    <w:jc w:val="right"/>
                    <w:jc w:val="center"/>
                  </w:pPr>
                  <w:r>
                    <w:t xml:space="preserve">1.80</w:t>
                  </w:r>
                </w:p>
              </w:tc>
              <w:tc>
                <w:tcPr/>
                <w:p>
                  <w:pPr>
                    <w:pStyle w:val="Compact"/>
                    <w:jc w:val="right"/>
                    <w:jc w:val="center"/>
                  </w:pPr>
                  <w:r>
                    <w:t xml:space="preserve">2.0</w:t>
                  </w:r>
                </w:p>
              </w:tc>
              <w:tc>
                <w:tcPr/>
                <w:p>
                  <w:pPr>
                    <w:pStyle w:val="Compact"/>
                    <w:jc w:val="right"/>
                    <w:jc w:val="center"/>
                  </w:pPr>
                  <w:r>
                    <w:t xml:space="preserve">1</w:t>
                  </w:r>
                </w:p>
              </w:tc>
              <w:tc>
                <w:tcPr/>
                <w:p>
                  <w:pPr>
                    <w:pStyle w:val="Compact"/>
                    <w:jc w:val="right"/>
                    <w:jc w:val="center"/>
                  </w:pPr>
                  <w:r>
                    <w:t xml:space="preserve">2</w:t>
                  </w:r>
                </w:p>
              </w:tc>
            </w:tr>
            <w:tr>
              <w:tc>
                <w:tcPr/>
                <w:p>
                  <w:pPr>
                    <w:pStyle w:val="Compact"/>
                    <w:jc w:val="left"/>
                    <w:jc w:val="center"/>
                  </w:pPr>
                  <w:r>
                    <w:t xml:space="preserve">Stage 9</w:t>
                  </w:r>
                </w:p>
              </w:tc>
              <w:tc>
                <w:tcPr/>
                <w:p>
                  <w:pPr>
                    <w:pStyle w:val="Compact"/>
                    <w:jc w:val="right"/>
                    <w:jc w:val="center"/>
                  </w:pPr>
                  <w:r>
                    <w:t xml:space="preserve">100</w:t>
                  </w:r>
                </w:p>
              </w:tc>
              <w:tc>
                <w:tcPr/>
                <w:p>
                  <w:pPr>
                    <w:pStyle w:val="Compact"/>
                    <w:jc w:val="right"/>
                    <w:jc w:val="center"/>
                  </w:pPr>
                  <w:r>
                    <w:t xml:space="preserve">1.91</w:t>
                  </w:r>
                </w:p>
              </w:tc>
              <w:tc>
                <w:tcPr/>
                <w:p>
                  <w:pPr>
                    <w:pStyle w:val="Compact"/>
                    <w:jc w:val="right"/>
                    <w:jc w:val="center"/>
                  </w:pPr>
                  <w:r>
                    <w:t xml:space="preserve">2.0</w:t>
                  </w:r>
                </w:p>
              </w:tc>
              <w:tc>
                <w:tcPr/>
                <w:p>
                  <w:pPr>
                    <w:pStyle w:val="Compact"/>
                    <w:jc w:val="right"/>
                    <w:jc w:val="center"/>
                  </w:pPr>
                  <w:r>
                    <w:t xml:space="preserve">1</w:t>
                  </w:r>
                </w:p>
              </w:tc>
              <w:tc>
                <w:tcPr/>
                <w:p>
                  <w:pPr>
                    <w:pStyle w:val="Compact"/>
                    <w:jc w:val="right"/>
                    <w:jc w:val="center"/>
                  </w:pPr>
                  <w:r>
                    <w:t xml:space="preserve">2</w:t>
                  </w:r>
                </w:p>
              </w:tc>
            </w:tr>
            <w:tr>
              <w:tc>
                <w:tcPr/>
                <w:p>
                  <w:pPr>
                    <w:pStyle w:val="Compact"/>
                    <w:jc w:val="left"/>
                    <w:jc w:val="center"/>
                  </w:pPr>
                  <w:r>
                    <w:t xml:space="preserve">Stage 10</w:t>
                  </w:r>
                </w:p>
              </w:tc>
              <w:tc>
                <w:tcPr/>
                <w:p>
                  <w:pPr>
                    <w:pStyle w:val="Compact"/>
                    <w:jc w:val="right"/>
                    <w:jc w:val="center"/>
                  </w:pPr>
                  <w:r>
                    <w:t xml:space="preserve">13</w:t>
                  </w:r>
                </w:p>
              </w:tc>
              <w:tc>
                <w:tcPr/>
                <w:p>
                  <w:pPr>
                    <w:pStyle w:val="Compact"/>
                    <w:jc w:val="right"/>
                    <w:jc w:val="center"/>
                  </w:pPr>
                  <w:r>
                    <w:t xml:space="preserve">1.38</w:t>
                  </w:r>
                </w:p>
              </w:tc>
              <w:tc>
                <w:tcPr/>
                <w:p>
                  <w:pPr>
                    <w:pStyle w:val="Compact"/>
                    <w:jc w:val="right"/>
                    <w:jc w:val="center"/>
                  </w:pPr>
                  <w:r>
                    <w:t xml:space="preserve">1.0</w:t>
                  </w:r>
                </w:p>
              </w:tc>
              <w:tc>
                <w:tcPr/>
                <w:p>
                  <w:pPr>
                    <w:pStyle w:val="Compact"/>
                    <w:jc w:val="right"/>
                    <w:jc w:val="center"/>
                  </w:pPr>
                  <w:r>
                    <w:t xml:space="preserve">0</w:t>
                  </w:r>
                </w:p>
              </w:tc>
              <w:tc>
                <w:tcPr/>
                <w:p>
                  <w:pPr>
                    <w:pStyle w:val="Compact"/>
                    <w:jc w:val="right"/>
                    <w:jc w:val="center"/>
                  </w:pPr>
                  <w:r>
                    <w:t xml:space="preserve">2</w:t>
                  </w:r>
                </w:p>
              </w:tc>
            </w:tr>
            <w:tr>
              <w:tc>
                <w:tcPr/>
                <w:p>
                  <w:pPr>
                    <w:pStyle w:val="Compact"/>
                    <w:jc w:val="left"/>
                    <w:jc w:val="center"/>
                  </w:pPr>
                  <w:r>
                    <w:t xml:space="preserve">Stage 11</w:t>
                  </w:r>
                </w:p>
              </w:tc>
              <w:tc>
                <w:tcPr/>
                <w:p>
                  <w:pPr>
                    <w:pStyle w:val="Compact"/>
                    <w:jc w:val="right"/>
                    <w:jc w:val="center"/>
                  </w:pPr>
                  <w:r>
                    <w:t xml:space="preserve">21</w:t>
                  </w:r>
                </w:p>
              </w:tc>
              <w:tc>
                <w:tcPr/>
                <w:p>
                  <w:pPr>
                    <w:pStyle w:val="Compact"/>
                    <w:jc w:val="right"/>
                    <w:jc w:val="center"/>
                  </w:pPr>
                  <w:r>
                    <w:t xml:space="preserve">1.29</w:t>
                  </w:r>
                </w:p>
              </w:tc>
              <w:tc>
                <w:tcPr/>
                <w:p>
                  <w:pPr>
                    <w:pStyle w:val="Compact"/>
                    <w:jc w:val="right"/>
                    <w:jc w:val="center"/>
                  </w:pPr>
                  <w:r>
                    <w:t xml:space="preserve">1.0</w:t>
                  </w:r>
                </w:p>
              </w:tc>
              <w:tc>
                <w:tcPr/>
                <w:p>
                  <w:pPr>
                    <w:pStyle w:val="Compact"/>
                    <w:jc w:val="right"/>
                    <w:jc w:val="center"/>
                  </w:pPr>
                  <w:r>
                    <w:t xml:space="preserve">0</w:t>
                  </w:r>
                </w:p>
              </w:tc>
              <w:tc>
                <w:tcPr/>
                <w:p>
                  <w:pPr>
                    <w:pStyle w:val="Compact"/>
                    <w:jc w:val="right"/>
                    <w:jc w:val="center"/>
                  </w:pPr>
                  <w:r>
                    <w:t xml:space="preserve">2</w:t>
                  </w:r>
                </w:p>
              </w:tc>
            </w:tr>
            <w:tr>
              <w:tc>
                <w:tcPr/>
                <w:p>
                  <w:pPr>
                    <w:pStyle w:val="Compact"/>
                    <w:jc w:val="left"/>
                    <w:jc w:val="center"/>
                  </w:pPr>
                  <w:r>
                    <w:t xml:space="preserve">Stage 12</w:t>
                  </w:r>
                </w:p>
              </w:tc>
              <w:tc>
                <w:tcPr/>
                <w:p>
                  <w:pPr>
                    <w:pStyle w:val="Compact"/>
                    <w:jc w:val="right"/>
                    <w:jc w:val="center"/>
                  </w:pPr>
                  <w:r>
                    <w:t xml:space="preserve">79</w:t>
                  </w:r>
                </w:p>
              </w:tc>
              <w:tc>
                <w:tcPr/>
                <w:p>
                  <w:pPr>
                    <w:pStyle w:val="Compact"/>
                    <w:jc w:val="right"/>
                    <w:jc w:val="center"/>
                  </w:pPr>
                  <w:r>
                    <w:t xml:space="preserve">1.39</w:t>
                  </w:r>
                </w:p>
              </w:tc>
              <w:tc>
                <w:tcPr/>
                <w:p>
                  <w:pPr>
                    <w:pStyle w:val="Compact"/>
                    <w:jc w:val="right"/>
                    <w:jc w:val="center"/>
                  </w:pPr>
                  <w:r>
                    <w:t xml:space="preserve">1.0</w:t>
                  </w:r>
                </w:p>
              </w:tc>
              <w:tc>
                <w:tcPr/>
                <w:p>
                  <w:pPr>
                    <w:pStyle w:val="Compact"/>
                    <w:jc w:val="right"/>
                    <w:jc w:val="center"/>
                  </w:pPr>
                  <w:r>
                    <w:t xml:space="preserve">0</w:t>
                  </w:r>
                </w:p>
              </w:tc>
              <w:tc>
                <w:tcPr/>
                <w:p>
                  <w:pPr>
                    <w:pStyle w:val="Compact"/>
                    <w:jc w:val="right"/>
                    <w:jc w:val="center"/>
                  </w:pPr>
                  <w:r>
                    <w:t xml:space="preserve">2</w:t>
                  </w:r>
                </w:p>
              </w:tc>
            </w:tr>
            <w:tr>
              <w:tc>
                <w:tcPr/>
                <w:p>
                  <w:pPr>
                    <w:pStyle w:val="Compact"/>
                    <w:jc w:val="left"/>
                    <w:jc w:val="center"/>
                  </w:pPr>
                  <w:r>
                    <w:t xml:space="preserve">Total</w:t>
                  </w:r>
                </w:p>
              </w:tc>
              <w:tc>
                <w:tcPr/>
                <w:p>
                  <w:pPr>
                    <w:pStyle w:val="Compact"/>
                    <w:jc w:val="right"/>
                    <w:jc w:val="center"/>
                  </w:pPr>
                  <w:r>
                    <w:t xml:space="preserve">100</w:t>
                  </w:r>
                </w:p>
              </w:tc>
              <w:tc>
                <w:tcPr/>
                <w:p>
                  <w:pPr>
                    <w:pStyle w:val="Compact"/>
                    <w:jc w:val="right"/>
                    <w:jc w:val="center"/>
                  </w:pPr>
                  <w:r>
                    <w:t xml:space="preserve">16.31</w:t>
                  </w:r>
                </w:p>
              </w:tc>
              <w:tc>
                <w:tcPr/>
                <w:p>
                  <w:pPr>
                    <w:pStyle w:val="Compact"/>
                    <w:jc w:val="right"/>
                    <w:jc w:val="center"/>
                  </w:pPr>
                  <w:r>
                    <w:t xml:space="preserve">16.0</w:t>
                  </w:r>
                </w:p>
              </w:tc>
              <w:tc>
                <w:tcPr/>
                <w:p>
                  <w:pPr>
                    <w:pStyle w:val="Compact"/>
                    <w:jc w:val="right"/>
                    <w:jc w:val="center"/>
                  </w:pPr>
                  <w:r>
                    <w:t xml:space="preserve">10</w:t>
                  </w:r>
                </w:p>
              </w:tc>
              <w:tc>
                <w:tcPr/>
                <w:p>
                  <w:pPr>
                    <w:pStyle w:val="Compact"/>
                    <w:jc w:val="right"/>
                    <w:jc w:val="center"/>
                  </w:pPr>
                  <w:r>
                    <w:t xml:space="preserve">25</w:t>
                  </w:r>
                </w:p>
              </w:tc>
            </w:tr>
          </w:tbl>
          <w:bookmarkEnd w:id="45"/>
          <w:p/>
        </w:tc>
      </w:tr>
    </w:tbl>
    <w:tbl>
      <w:tblPr>
        <w:tblStyle w:val="Table"/>
        <w:tblW w:type="pct" w:w="5000"/>
        <w:tblLayout w:type="fixed"/>
        <w:tblLook w:firstRow="0" w:lastRow="0" w:firstColumn="0" w:lastColumn="0" w:noHBand="0" w:noVBand="0" w:val="0000"/>
      </w:tblPr>
      <w:tblGrid>
        <w:gridCol w:w="7920"/>
      </w:tblGrid>
      <w:tr>
        <w:tc>
          <w:tcPr/>
          <w:bookmarkStart w:id="49" w:name="fig-histogram"/>
          <w:p>
            <w:pPr>
              <w:pStyle w:val="Compact"/>
              <w:jc w:val="center"/>
            </w:pPr>
            <w:r>
              <w:drawing>
                <wp:inline>
                  <wp:extent cx="3203069" cy="2745487"/>
                  <wp:effectExtent b="0" l="0" r="0" t="0"/>
                  <wp:docPr descr="" title="" id="47" name="Picture"/>
                  <a:graphic>
                    <a:graphicData uri="http://schemas.openxmlformats.org/drawingml/2006/picture">
                      <pic:pic>
                        <pic:nvPicPr>
                          <pic:cNvPr descr="paper_files/figure-docx/fig-histogram-1.png" id="48" name="Picture"/>
                          <pic:cNvPicPr>
                            <a:picLocks noChangeArrowheads="1" noChangeAspect="1"/>
                          </pic:cNvPicPr>
                        </pic:nvPicPr>
                        <pic:blipFill>
                          <a:blip r:embed="rId46"/>
                          <a:stretch>
                            <a:fillRect/>
                          </a:stretch>
                        </pic:blipFill>
                        <pic:spPr bwMode="auto">
                          <a:xfrm>
                            <a:off x="0" y="0"/>
                            <a:ext cx="3203069" cy="2745487"/>
                          </a:xfrm>
                          <a:prstGeom prst="rect">
                            <a:avLst/>
                          </a:prstGeom>
                          <a:noFill/>
                          <a:ln w="9525">
                            <a:noFill/>
                            <a:headEnd/>
                            <a:tailEnd/>
                          </a:ln>
                        </pic:spPr>
                      </pic:pic>
                    </a:graphicData>
                  </a:graphic>
                </wp:inline>
              </w:drawing>
            </w:r>
          </w:p>
          <w:p>
            <w:pPr>
              <w:jc w:val="center"/>
            </w:pPr>
            <w:pPr>
              <w:jc w:val="left"/>
              <w:spacing w:before="200"/>
              <w:pStyle w:val="ImageCaption"/>
            </w:pPr>
            <w:r>
              <w:t xml:space="preserve">Figure 1: Histogram showing the distribution of the mean score per article.</w:t>
            </w:r>
          </w:p>
          <w:bookmarkEnd w:id="49"/>
        </w:tc>
      </w:tr>
    </w:tbl>
    <w:p>
      <w:pPr>
        <w:pStyle w:val="Textkrper"/>
      </w:pPr>
      <w:r>
        <w:t xml:space="preserve">The scores for each of the 12 stages for each article are visualised as bar chart (</w:t>
      </w:r>
      <w:hyperlink w:anchor="fig-bar-plot">
        <w:r>
          <w:rPr>
            <w:rStyle w:val="Hyperlink"/>
          </w:rPr>
          <w:t xml:space="preserve">Figure 2</w:t>
        </w:r>
      </w:hyperlink>
      <w:r>
        <w:t xml:space="preserve">) and the Sankey flow chart in the compendium (###) highlights changes of scores between stages. As both the bar chart (</w:t>
      </w:r>
      <w:hyperlink w:anchor="fig-bar-plot">
        <w:r>
          <w:rPr>
            <w:rStyle w:val="Hyperlink"/>
          </w:rPr>
          <w:t xml:space="preserve">Figure 2</w:t>
        </w:r>
      </w:hyperlink>
      <w:r>
        <w:t xml:space="preserve">) and Sankey flow chart clearly show, the sample of publications performed better at some stages than at others. The lowest scoring stages (mean 1.5 or lower) fall into two categories: documentation and replicability of the analytical protocol (stages 0, 1, 4, 5 and 7) and computational reproducibility (stages 2 and 10–12).</w:t>
      </w:r>
    </w:p>
    <w:tbl>
      <w:tblPr>
        <w:tblStyle w:val="Table"/>
        <w:tblW w:type="pct" w:w="5000"/>
        <w:tblLayout w:type="fixed"/>
        <w:tblLook w:firstRow="0" w:lastRow="0" w:firstColumn="0" w:lastColumn="0" w:noHBand="0" w:noVBand="0" w:val="0000"/>
      </w:tblPr>
      <w:tblGrid>
        <w:gridCol w:w="7920"/>
      </w:tblGrid>
      <w:tr>
        <w:tc>
          <w:tcPr/>
          <w:bookmarkStart w:id="53" w:name="fig-bar-plot"/>
          <w:p>
            <w:pPr>
              <w:pStyle w:val="Compact"/>
              <w:jc w:val="center"/>
            </w:pPr>
            <w:r>
              <w:drawing>
                <wp:inline>
                  <wp:extent cx="3203069" cy="2745487"/>
                  <wp:effectExtent b="0" l="0" r="0" t="0"/>
                  <wp:docPr descr="" title="" id="51" name="Picture"/>
                  <a:graphic>
                    <a:graphicData uri="http://schemas.openxmlformats.org/drawingml/2006/picture">
                      <pic:pic>
                        <pic:nvPicPr>
                          <pic:cNvPr descr="paper_files/figure-docx/fig-bar-plot-1.png" id="52" name="Picture"/>
                          <pic:cNvPicPr>
                            <a:picLocks noChangeArrowheads="1" noChangeAspect="1"/>
                          </pic:cNvPicPr>
                        </pic:nvPicPr>
                        <pic:blipFill>
                          <a:blip r:embed="rId50"/>
                          <a:stretch>
                            <a:fillRect/>
                          </a:stretch>
                        </pic:blipFill>
                        <pic:spPr bwMode="auto">
                          <a:xfrm>
                            <a:off x="0" y="0"/>
                            <a:ext cx="3203069" cy="2745487"/>
                          </a:xfrm>
                          <a:prstGeom prst="rect">
                            <a:avLst/>
                          </a:prstGeom>
                          <a:noFill/>
                          <a:ln w="9525">
                            <a:noFill/>
                            <a:headEnd/>
                            <a:tailEnd/>
                          </a:ln>
                        </pic:spPr>
                      </pic:pic>
                    </a:graphicData>
                  </a:graphic>
                </wp:inline>
              </w:drawing>
            </w:r>
          </w:p>
          <w:p>
            <w:pPr>
              <w:jc w:val="center"/>
            </w:pPr>
            <w:pPr>
              <w:jc w:val="left"/>
              <w:spacing w:before="200"/>
              <w:pStyle w:val="ImageCaption"/>
            </w:pPr>
            <w:r>
              <w:t xml:space="preserve">Figure 2: Bar chart with the scoring of the surveyed literature per stage. Because 100 articles were surveyed, the percentage equals the number of articles.</w:t>
            </w:r>
          </w:p>
          <w:bookmarkEnd w:id="53"/>
        </w:tc>
      </w:tr>
    </w:tbl>
    <w:p>
      <w:pPr>
        <w:pStyle w:val="Textkrper"/>
      </w:pPr>
      <w:r>
        <w:t xml:space="preserve">Below, the overall performance of the dataset per index stage will be discussed. The 13 stages are organised into three phases, corresponding to different sections of the research chain: data collection, data quality and data analysis.</w:t>
      </w:r>
    </w:p>
    <w:bookmarkStart w:id="58" w:name="X66019c7ee0cf5d9f728f2590899b155db5f7c8a"/>
    <w:p>
      <w:pPr>
        <w:pStyle w:val="berschrift3"/>
      </w:pPr>
      <w:r>
        <w:t xml:space="preserve">Phase 1: data collection and presentation (stages 0-3)</w:t>
      </w:r>
    </w:p>
    <w:p>
      <w:pPr>
        <w:pStyle w:val="FirstParagraph"/>
      </w:pPr>
      <w:r>
        <w:t xml:space="preserve">The first three stages all relate to data collection and presentation. A great positive outcome of this study is to find that the vast majority of articles is open and transparent in their data availability (Stage 2), making their complete underlying dataset available either in table form in their article or as a supplementary file online. Only four articles scored a 0 on data availability. In all these cases, only a selection of data was provided, as evidenced by the methods and materials sections. Two of these articles promise to make data available upon request. The third article claims that “no data were generated or analysed during the current study” and the final case featured no data availability statement at all.</w:t>
      </w:r>
    </w:p>
    <w:bookmarkStart w:id="54" w:name="Xa9c2370fc1644a40a01446a59b6cfe1ba4da512"/>
    <w:p>
      <w:pPr>
        <w:pStyle w:val="berschrift4"/>
      </w:pPr>
      <w:r>
        <w:t xml:space="preserve">Stage 0: Sample selection, sample collection and preparation</w:t>
      </w:r>
    </w:p>
    <w:p>
      <w:pPr>
        <w:pStyle w:val="FirstParagraph"/>
      </w:pPr>
      <w:r>
        <w:t xml:space="preserve">This stage targets every choice made before the analytical equipment is switched on, from choosing which artefacts to sample, to sample location and preparation of surfaces or samples. Over half of the publications surveyed miss some information in this regard, most often sampling location (which we only took into account for analyses of artefacts, not of slags) and, in the case of non- or low-invasive techniques, the extent of surface preparation undertaken before analysis (often absent for uses of XRF). Sample preparation was found to be described in varying levels of detail, with some techniques generally including more detailed information (such as SEM-EDS, for which the cutting and polishing of metallographic sections is often discussed in-depth) than others (such as ICP-MS, where sample size and the tools with which samples were removed was often not described).</w:t>
      </w:r>
    </w:p>
    <w:bookmarkEnd w:id="54"/>
    <w:bookmarkStart w:id="55" w:name="stage-1-analytical-protocol-1"/>
    <w:p>
      <w:pPr>
        <w:pStyle w:val="berschrift4"/>
      </w:pPr>
      <w:r>
        <w:t xml:space="preserve">Stage 1: Analytical protocol</w:t>
      </w:r>
    </w:p>
    <w:p>
      <w:pPr>
        <w:pStyle w:val="FirstParagraph"/>
      </w:pPr>
      <w:r>
        <w:t xml:space="preserve">Stage 1 considers all decisions made by the analyst: equipment and settings, number of replicate analyses etc. Half of the articles did not score a 2, and the overall main point of improvement encountered in this part of the research workflow is the level of detail in the description of the analytical protocol. To avoid arbitrary weighing of the score for publications that use a large number of techniques, a score of 1 was given to any case where at least one aspect is missing from one methodology. Given the limited space for methodological discussions in many journals and the ubiquity of studies employing multiple techniques, this made a score of 2 very hard to achieve, perhaps unfairly so.</w:t>
      </w:r>
    </w:p>
    <w:bookmarkEnd w:id="55"/>
    <w:bookmarkStart w:id="56" w:name="stage-2-inclusion-of-original-data"/>
    <w:p>
      <w:pPr>
        <w:pStyle w:val="berschrift4"/>
      </w:pPr>
      <w:r>
        <w:t xml:space="preserve">Stage 2: Inclusion of original data</w:t>
      </w:r>
    </w:p>
    <w:p>
      <w:pPr>
        <w:pStyle w:val="FirstParagraph"/>
      </w:pPr>
      <w:r>
        <w:t xml:space="preserve">The inclusion of originally gathered data is the main basis for the computational reproducibility of a publication. It is therefore noteworthy that four out of the total of 100 surveyed publications do not include any data that was collected as part of the published research or only fragments of it (score 0). This includes a case where only snippets of analytical data was described in the running text of the article, examples where only selected data are presented as tables or where both XRF and SEM-EDS analysis had taken place but only the XRF data were included. Scoring was more lenient if methods such as (p)XRF were exclusively used as surveying tool and where these data were therefore not completely provided.</w:t>
      </w:r>
      <w:r>
        <w:t xml:space="preserve"> </w:t>
      </w:r>
      <w:r>
        <w:t xml:space="preserve">For the purpose of this study, it was generally not taken into account for the scoring whether raw output or processed data was included, unless this impacted later stages of the reproducibility index (for instance when averaged values were provided, but individual data points were plotted).</w:t>
      </w:r>
    </w:p>
    <w:p>
      <w:pPr>
        <w:pStyle w:val="Textkrper"/>
      </w:pPr>
      <w:r>
        <w:t xml:space="preserve">The distinction between the scores 1 and 2 was purely informed by level of friction. Both reflect the inclusion of all data necessary to computationally reproduce the published result. Scores of 2 were given to studies that include their analytical data in data formats that are relatively straightforward to import into data processing software, in our case R. In practice, this usually means Microsoft Excel or .csv files in digital supplements. Data provided in digital supplements that create extra barriers in the form of copy-pasting and sorting, such as Microsoft Word files or PDFs, were given a score of 1 to reflect these extra steps, as these were harder to automate, increasing the risk of human error. The same argument was applied to publications where all data was contained in tables in the text of the article.</w:t>
      </w:r>
    </w:p>
    <w:bookmarkEnd w:id="56"/>
    <w:bookmarkStart w:id="57" w:name="stage-3-handling-of-comparative-data"/>
    <w:p>
      <w:pPr>
        <w:pStyle w:val="berschrift4"/>
      </w:pPr>
      <w:r>
        <w:t xml:space="preserve">Stage 3: Handling of comparative data</w:t>
      </w:r>
    </w:p>
    <w:p>
      <w:pPr>
        <w:pStyle w:val="FirstParagraph"/>
      </w:pPr>
      <w:r>
        <w:t xml:space="preserve">42% of surveyed publications did not include any data from previous publications or repositories for comparative purposes. Lack of transparency, in the form of missing citations, unclear citations, or unclear use is encountered in 18 cases. These include cases where references are included in the running text rather than in the caption of the specific visualisation where the data are used and cases that only cite very generally (e.g., to the OXALID database without specifications of which reports or sites within those database are used), all score 1. Cases where visualisations used comparative data without any indication scored 0.</w:t>
      </w:r>
    </w:p>
    <w:bookmarkEnd w:id="57"/>
    <w:bookmarkEnd w:id="58"/>
    <w:bookmarkStart w:id="62" w:name="phase-2-data-quality-stages-4-6"/>
    <w:p>
      <w:pPr>
        <w:pStyle w:val="berschrift3"/>
      </w:pPr>
      <w:r>
        <w:t xml:space="preserve">Phase 2: Data quality (stages 4-6)</w:t>
      </w:r>
    </w:p>
    <w:bookmarkStart w:id="59" w:name="stage-4-calibration-and-standardisation"/>
    <w:p>
      <w:pPr>
        <w:pStyle w:val="berschrift4"/>
      </w:pPr>
      <w:r>
        <w:t xml:space="preserve">Stage 4: Calibration and standardisation</w:t>
      </w:r>
    </w:p>
    <w:p>
      <w:pPr>
        <w:pStyle w:val="FirstParagraph"/>
      </w:pPr>
      <w:r>
        <w:t xml:space="preserve">The documentation of calibration and standardisation methodology in the surveyed papers broadly fall into three categories: those that specify the use of CRMs or the application of equipment in standardless mode (score 2), those that employ in-house standards, generally commenting on having used reference materials in some or all analytical techniques without specifics or citation for all of them (score 1) and those that include no information at all (score 0).</w:t>
      </w:r>
      <w:r>
        <w:t xml:space="preserve"> </w:t>
      </w:r>
      <w:r>
        <w:t xml:space="preserve">A score of 0 was only awarded once, indicating broadly shared high standards across the discipline, especially considering the wide range of materials, regions, techniques and author backgrounds we encountered. In this case, other aspects of the analytical process were also described in relative brevity, leaving out key details of some protocol stages.</w:t>
      </w:r>
    </w:p>
    <w:p>
      <w:pPr>
        <w:pStyle w:val="Textkrper"/>
      </w:pPr>
      <w:r>
        <w:t xml:space="preserve">Half of the articles were given a score of 2 because they are explicit and complete in specifying published reference materials for all methods and materials covered in the publication and in some cases also include measured values of the CRMs.</w:t>
      </w:r>
    </w:p>
    <w:p>
      <w:pPr>
        <w:pStyle w:val="Textkrper"/>
      </w:pPr>
      <w:r>
        <w:t xml:space="preserve">The in-between score of 1 was given to studies using “anonymous” standards such as internal reference materials because their use limits aspects of procedural reproducibility and data quality. Even though only a vague reference to e.g., “CRMs were used” fails at the former aim (the reproducer cannot replicate this part of the analytical protocol), it does at least indicate that internal data quality was monitored, which is an element of good analytical practice we wanted to highlight. Some scores of 1 were also given to studies where no information on calibration or standards is included, but only analytical techniques are used where internal calibration and standardless mode may be presumed, such as pXRF.</w:t>
      </w:r>
    </w:p>
    <w:bookmarkEnd w:id="59"/>
    <w:bookmarkStart w:id="60" w:name="Xb863bbff2b5fa82d1d2a6d28cc0d482c1c3fc2c"/>
    <w:p>
      <w:pPr>
        <w:pStyle w:val="berschrift4"/>
      </w:pPr>
      <w:r>
        <w:t xml:space="preserve">Stage 5: Analytical precision and accuracy</w:t>
      </w:r>
    </w:p>
    <w:p>
      <w:pPr>
        <w:pStyle w:val="FirstParagraph"/>
      </w:pPr>
      <w:r>
        <w:t xml:space="preserve">Just under a fifth of papers (18) report no information concerning these metrics (score 0). Around a third of cases provide complete information for every analytical technique employed. This leaves 44 surveyed articles with a score of 1, indicating that only some information was provided. Usually, this score reflects that a variety of techniques is employed with information absent for some but present for others. This observation pinpoints to decisions made during the writing and editing process: because some journals may enforce strict word limits, authors of research that incorporates a range of techniques or approaches may decide to only go into a detailed discussion of methodology or standards for what they may consider the “main” technique. Overall, 82% of papers surveyed include procedural metadata related to data accuracy, showcasing our discipline’s commitment to high and verifiable data standards.</w:t>
      </w:r>
    </w:p>
    <w:bookmarkEnd w:id="60"/>
    <w:bookmarkStart w:id="61" w:name="X291501fb920167e757265a5b6b02fadb89e8c8b"/>
    <w:p>
      <w:pPr>
        <w:pStyle w:val="berschrift4"/>
      </w:pPr>
      <w:r>
        <w:t xml:space="preserve">Stage 6: Outliers or variation within dataset</w:t>
      </w:r>
    </w:p>
    <w:p>
      <w:pPr>
        <w:pStyle w:val="FirstParagraph"/>
      </w:pPr>
      <w:r>
        <w:t xml:space="preserve">Whether outliers or significant variation within the reported data are explicitly identified or discussed proved to be incredibly difficult to quantify accurately in practice. The vast majority of publications did not address this at all. Does that mean that no outliers were found (either outliers due to technical malfunctions or genuine archaeologically significant outliers) or that these are removed without discussion before the data presentation? Only the second scenario would be genuinely concerning. Because it is impossible to ascertain the reason behind the lack of discussion based on the information provided, a “soft pass” of 2 was given to articles where information is absent without being generally problematic for successfully passing later stages of the reproducibility index. Elsewhere, a range of outlier-treatments were identified, including the identification of outliers in the written text, explicit discussion of removal from analysis or visualisation including thresholds, or the inclusion of outliers in visualisations but labelling them explicitly in tables, figure captions, or iconography.</w:t>
      </w:r>
    </w:p>
    <w:bookmarkEnd w:id="61"/>
    <w:bookmarkEnd w:id="62"/>
    <w:bookmarkStart w:id="66" w:name="X498c205e5227057cdac2fe921759cfa497f67ad"/>
    <w:p>
      <w:pPr>
        <w:pStyle w:val="berschrift3"/>
      </w:pPr>
      <w:r>
        <w:t xml:space="preserve">Phase 3: Data description and consistency (stages 7-9).</w:t>
      </w:r>
    </w:p>
    <w:bookmarkStart w:id="63" w:name="stage-7-normalisation-1"/>
    <w:p>
      <w:pPr>
        <w:pStyle w:val="berschrift4"/>
      </w:pPr>
      <w:r>
        <w:t xml:space="preserve">Stage 7: Normalisation</w:t>
      </w:r>
    </w:p>
    <w:p>
      <w:pPr>
        <w:pStyle w:val="FirstParagraph"/>
      </w:pPr>
      <w:r>
        <w:t xml:space="preserve">The majority of articles (66%) received a score of 1. Almost all of them do not explicitly mention that their dataset is normalised to 100%, which can sometimes be inferred from the analytical method used in these studies (e.g., SEM-EDS, XRF) or from the way data (or a selection of data) are presented. In all other cases, normalisation (or its absence) is mentioned explicitly and sufficient information about the procedure is provided, including un-normalised data in some cases. No score of 0 was given.</w:t>
      </w:r>
    </w:p>
    <w:bookmarkEnd w:id="63"/>
    <w:bookmarkStart w:id="64" w:name="stage-8-unit-specification"/>
    <w:p>
      <w:pPr>
        <w:pStyle w:val="berschrift4"/>
      </w:pPr>
      <w:r>
        <w:t xml:space="preserve">Stage 8: Unit specification</w:t>
      </w:r>
    </w:p>
    <w:p>
      <w:pPr>
        <w:pStyle w:val="FirstParagraph"/>
      </w:pPr>
      <w:r>
        <w:t xml:space="preserve">80% of the analysed articles fully list and define all compositional units they are working with. In the rest of the cases, only some units are specified, or the generic % is used for compositional data without specifying whether that is wt% or at% (score 1). No score of 0 was given.</w:t>
      </w:r>
    </w:p>
    <w:bookmarkEnd w:id="64"/>
    <w:bookmarkStart w:id="65" w:name="stage-9-archaeological-metadata-1"/>
    <w:p>
      <w:pPr>
        <w:pStyle w:val="berschrift4"/>
      </w:pPr>
      <w:r>
        <w:t xml:space="preserve">Stage 9: Archaeological metadata</w:t>
      </w:r>
    </w:p>
    <w:p>
      <w:pPr>
        <w:pStyle w:val="FirstParagraph"/>
      </w:pPr>
      <w:r>
        <w:t xml:space="preserve">Almost all (91) articles that were surveyed provide complete archaeological metadata that is clearly linked to the compositional dataset, either by combining both in one table or by including straightforward identifiers for measurements and artefacts. This meant all necessary metadata to filter, group or plot the compositional data was included and in most cases much more information relevant to archaeological studies were present as well. This close entwining of artefactual, chronological, functional or contextual information with compositional data is a really strong aspect of many recent publications.</w:t>
      </w:r>
    </w:p>
    <w:p>
      <w:pPr>
        <w:pStyle w:val="Textkrper"/>
      </w:pPr>
      <w:r>
        <w:t xml:space="preserve">The other cases concern two scenarios: either the necessary metadata was present but hard to find (e.g., because it is spread over multiple tables that need to be collated) or metadata is missing that impacts later stages of the reproducibility index. In these few cases, the most common types of metadata that are absent or ambiguous are used to colour-code graphs, such as alloy definitions, historical periods, or artefact type. For small datasets, this could usually be retro-engineered by plotting a graph and then reconstructing date or type from the iconography and matching it to the chemical composition, but that is not ideal. However, such missing or incomplete archaeological metadata were very rare.</w:t>
      </w:r>
    </w:p>
    <w:bookmarkEnd w:id="65"/>
    <w:bookmarkEnd w:id="66"/>
    <w:bookmarkStart w:id="80" w:name="Xa2c8c3ae160a65af42931661ca18018f5453a15"/>
    <w:p>
      <w:pPr>
        <w:pStyle w:val="berschrift3"/>
      </w:pPr>
      <w:r>
        <w:t xml:space="preserve">Phase 4: Data analysis and visualisation (stages 10-12)</w:t>
      </w:r>
    </w:p>
    <w:p>
      <w:pPr>
        <w:pStyle w:val="FirstParagraph"/>
      </w:pPr>
      <w:r>
        <w:t xml:space="preserve">The majority of articles, over three-quarters of the dataset, do not use any statistical analysis, reflecting the common practice of publishing individual sites or collections and of relatively small datasets that do not require such heavy-handed approaches. In those articles that use statistical tools, a range of statistical tests, models and calculations is encountered, namely kernel density estimates or kernel smoothing, Euclidean distances, cluster analysis of various forms (most commonly hierarchical clustering (HCA) using Ward’s method), linear discriminant analysis (LDA), factor analysis and principal component analysis (PCA). Some of these use standard calculations or formulae, such as Euclidean distances or isochrones, which aides in reproduction, especially in the cases where the authors cite these or provide them directly in their article or supplements. Subtypes of particular analysis (such as specifying Ward’s method for HCA) were also frequently specified, which helps with choosing the right tools.</w:t>
      </w:r>
    </w:p>
    <w:bookmarkStart w:id="67" w:name="stage-10-data-transformation"/>
    <w:p>
      <w:pPr>
        <w:pStyle w:val="berschrift4"/>
      </w:pPr>
      <w:r>
        <w:t xml:space="preserve">Stage 10: Data transformation</w:t>
      </w:r>
    </w:p>
    <w:p>
      <w:pPr>
        <w:pStyle w:val="FirstParagraph"/>
      </w:pPr>
      <w:r>
        <w:t xml:space="preserve">In the 13 articles performing data transformations, they include normalisation to particular minerals or totals of a selection of minerals, Centered Log-Ratio Transformation (CRL), logarithmic transformations and scaling, and these were applied appropriately for the statistical tests that was chosen. However, multi-variate statistics such as PCA or HCA present somewhat of a black box with parameters that can be set by the analyst, requiring clear documentation of those parameters in order to make them fully reproducible. Some functions for these methods also sometimes come with default settings, which can differ between different functions that perform the same type of test (e.g.,</w:t>
      </w:r>
      <w:r>
        <w:t xml:space="preserve"> </w:t>
      </w:r>
      <w:r>
        <w:rPr>
          <w:i/>
          <w:iCs/>
        </w:rPr>
        <w:t xml:space="preserve">princomp()</w:t>
      </w:r>
      <w:r>
        <w:t xml:space="preserve"> </w:t>
      </w:r>
      <w:r>
        <w:t xml:space="preserve">and</w:t>
      </w:r>
      <w:r>
        <w:t xml:space="preserve"> </w:t>
      </w:r>
      <w:r>
        <w:rPr>
          <w:i/>
          <w:iCs/>
        </w:rPr>
        <w:t xml:space="preserve">prcomp()</w:t>
      </w:r>
      <w:r>
        <w:t xml:space="preserve"> </w:t>
      </w:r>
      <w:r>
        <w:t xml:space="preserve">in R for PCA); all of which needs to be clarified in writing. In more than half of the articles, this was documented fully, with the most common hurdle being data curation and transformation: handling of outliers, missing values, zeroes, or values below the detection limit. This type of information may not have been included because it is deemed self-explanatory or irrelevant, and in some cases it may be reconstructed through trial and error. However, the friction this causes for the reproducer was significant, and in some cases it makes reproducing the results entirely impossible.</w:t>
      </w:r>
    </w:p>
    <w:bookmarkEnd w:id="67"/>
    <w:bookmarkStart w:id="68" w:name="X8dbd6237cfcd4a5200efe9810f9d5c4126255a3"/>
    <w:p>
      <w:pPr>
        <w:pStyle w:val="berschrift4"/>
      </w:pPr>
      <w:r>
        <w:t xml:space="preserve">Stage 11: Description of statistical tests and calculations</w:t>
      </w:r>
    </w:p>
    <w:p>
      <w:pPr>
        <w:pStyle w:val="FirstParagraph"/>
      </w:pPr>
      <w:r>
        <w:t xml:space="preserve">The majority of publications surveyed did not employ any advanced forms of multi-variate statistics. Within those that did, the most common types were: factor analysis, cluster analysis, linear discriminant analysis (LDA) and PCA (Shadmehr and Mostafaei 2016; Baxter 1994). Although in most cases the specific type of analysis is indicated (such as Ward’s method for HCA), this was not always included, such as in the case of a correlation matrix which did not specify what type of correlation methods (Spearman, Pearson, etc.) was applied.</w:t>
      </w:r>
    </w:p>
    <w:p>
      <w:pPr>
        <w:pStyle w:val="Textkrper"/>
      </w:pPr>
      <w:r>
        <w:t xml:space="preserve">Ten articles provide sufficient information to fully reproduce statistical calculations presented in the paper, which predominantly concern statistical methods that come with standard calculations: Euclidean distances and isochron calculations. Statistical methods that involve multiple steps, including scaling, clustering and other researcher-led inputs, such as HCA, PCA and LDA are far more difficult to reproduce. In fact, of the 12 studies employing one or more of those multi-variate techniques, these can only be fully reconstructed and reproduced for a single study. In that case, reproducibility is facilitated by the inclusion of fully documented R code that can be easily run with the supplied dataset (see below).</w:t>
      </w:r>
    </w:p>
    <w:p>
      <w:pPr>
        <w:pStyle w:val="Textkrper"/>
      </w:pPr>
      <w:r>
        <w:t xml:space="preserve">All other articles employing these tools are either partially or entirely irreproducible due to absent documentation related to stage 10. Some scores of 1 were awarded here because some specifications are provided (e.g., providing eigenvalue and variance for PCA or specifying Ward’s method for clustering), but in all cases except those with a score of 2, reproducing the statistical analyses was unsuccessful. Although in most cases the specific type of analysis is indicated (such as Ward’s method for HCA), not even this was always included, such as in the case of a correlation matrix without specifying the correlation method (Spearman, Pearson, etc.). More information on this is provided in the section below on visualisations, as these are the main way in which the results of multi-variate statistics are communicated. Only rarely are the groups identified through clustering analysis added to the compositional data, for example, and in only one case, the underlying eigenvalues/coordinates behind the PCA biplot were included.</w:t>
      </w:r>
    </w:p>
    <w:bookmarkEnd w:id="68"/>
    <w:bookmarkStart w:id="79" w:name="stage-12-visualisations"/>
    <w:p>
      <w:pPr>
        <w:pStyle w:val="berschrift4"/>
      </w:pPr>
      <w:r>
        <w:t xml:space="preserve">Stage 12: Visualisations</w:t>
      </w:r>
    </w:p>
    <w:p>
      <w:pPr>
        <w:pStyle w:val="FirstParagraph"/>
      </w:pPr>
      <w:r>
        <w:t xml:space="preserve">About one fifth of the surveyed articles did not contain any visualisations of original data. In seven cases, the majority or all of the visualisations could not be replicated (resulting in a score of 0). Visualisation (graphs, charts) in just over a third of the articles (38) reviewed here were fully reproducible. A score of one was given for the remaining 34 cases because either some visualisations in an article were fully reproducible but others were not, or the main data could be plotted but certain aspects such as iconography or additional statistical insights such as uncertainty markers, regression lines or density areas could not be replicated.</w:t>
      </w:r>
    </w:p>
    <w:bookmarkStart w:id="73" w:name="multi-variate-statistics-visualisations"/>
    <w:p>
      <w:pPr>
        <w:pStyle w:val="berschrift5"/>
      </w:pPr>
      <w:r>
        <w:t xml:space="preserve">Multi-variate statistics visualisations</w:t>
      </w:r>
    </w:p>
    <w:p>
      <w:pPr>
        <w:pStyle w:val="FirstParagraph"/>
      </w:pPr>
      <w:r>
        <w:t xml:space="preserve">The common reason for irreproducibility of PCA biplots, clustering dendrograms and normalised log-transformed graphs is insufficient detail on data transformation and statistical treatments. In the majority of these cases, reproducing the statistics, let alone the visualisations, fell at the first hurdle as publications did not specify how missing values, zeroes, or results that fell below the detection limit (commonly indicated non-numerically as “&lt;LOD” or “bdl”) were handled. In the cases where no such values are present, the parameters for the following steps in data transformation were often not reported. Very few publications using multi-variate statistics openly discuss scaling of data prior to analysis, for example.</w:t>
      </w:r>
    </w:p>
    <w:p>
      <w:pPr>
        <w:pStyle w:val="Textkrper"/>
      </w:pPr>
      <w:r>
        <w:t xml:space="preserve">Here, we wish to illustrate this for the use of PCA in compositional studies. As only the end product, the biplot, is typically published, that is what our reproduction effort has focused on, working on the assumption that a matching plot equals a matching computational analysis. Our chosen case provided both the data (which did not contain missing or zero values) and some instructions on data treatment.</w:t>
      </w:r>
    </w:p>
    <w:tbl>
      <w:tblPr>
        <w:tblStyle w:val="Table"/>
        <w:tblW w:type="pct" w:w="5000"/>
        <w:tblLayout w:type="fixed"/>
        <w:tblLook w:firstRow="0" w:lastRow="0" w:firstColumn="0" w:lastColumn="0" w:noHBand="0" w:noVBand="0" w:val="0000"/>
      </w:tblPr>
      <w:tblGrid>
        <w:gridCol w:w="7920"/>
      </w:tblGrid>
      <w:tr>
        <w:tc>
          <w:tcPr/>
          <w:bookmarkStart w:id="72" w:name="fig-reprod-PCA"/>
          <w:p>
            <w:pPr>
              <w:pStyle w:val="Compact"/>
              <w:jc w:val="center"/>
            </w:pPr>
            <w:r>
              <w:drawing>
                <wp:inline>
                  <wp:extent cx="5943600" cy="4556773"/>
                  <wp:effectExtent b="0" l="0" r="0" t="0"/>
                  <wp:docPr descr="" title="" id="70" name="Picture"/>
                  <a:graphic>
                    <a:graphicData uri="http://schemas.openxmlformats.org/drawingml/2006/picture">
                      <pic:pic>
                        <pic:nvPicPr>
                          <pic:cNvPr descr="../figures/fig_repro_PCA.tif" id="71" name="Picture"/>
                          <pic:cNvPicPr>
                            <a:picLocks noChangeArrowheads="1" noChangeAspect="1"/>
                          </pic:cNvPicPr>
                        </pic:nvPicPr>
                        <pic:blipFill>
                          <a:blip r:embed="rId69"/>
                          <a:stretch>
                            <a:fillRect/>
                          </a:stretch>
                        </pic:blipFill>
                        <pic:spPr bwMode="auto">
                          <a:xfrm>
                            <a:off x="0" y="0"/>
                            <a:ext cx="5943600" cy="4556773"/>
                          </a:xfrm>
                          <a:prstGeom prst="rect">
                            <a:avLst/>
                          </a:prstGeom>
                          <a:noFill/>
                          <a:ln w="9525">
                            <a:noFill/>
                            <a:headEnd/>
                            <a:tailEnd/>
                          </a:ln>
                        </pic:spPr>
                      </pic:pic>
                    </a:graphicData>
                  </a:graphic>
                </wp:inline>
              </w:drawing>
            </w:r>
          </w:p>
          <w:p>
            <w:pPr>
              <w:jc w:val="center"/>
            </w:pPr>
            <w:pPr>
              <w:jc w:val="left"/>
              <w:spacing w:before="200"/>
              <w:pStyle w:val="ImageCaption"/>
            </w:pPr>
            <w:r>
              <w:t xml:space="preserve">Figure 3: Attempted reproduction of Figure 8 in article 44 based on the data provided in their digital supplement. (a) The anonymised original plot. PCA analyses on CLR transformed data with princomp() of the R stats package on (b) centred and scaled and (c) uncentred and unscaled data. (d, e, f, g): PCA analyses with prcomp() of the R stats package for all possible combinations of (un)centred and (un)scaled data.</w:t>
            </w:r>
          </w:p>
          <w:bookmarkEnd w:id="72"/>
        </w:tc>
      </w:tr>
    </w:tbl>
    <w:p>
      <w:pPr>
        <w:pStyle w:val="Textkrper"/>
      </w:pPr>
      <w:r>
        <w:t xml:space="preserve">Publication 44 in our dataset performed, according to the image caption, a PCA analysis on CLR-transformed data for 13 trace elements (</w:t>
      </w:r>
      <w:hyperlink w:anchor="fig-reprod-PCA">
        <w:r>
          <w:rPr>
            <w:rStyle w:val="Hyperlink"/>
          </w:rPr>
          <w:t xml:space="preserve">Figure 3</w:t>
        </w:r>
      </w:hyperlink>
      <w:r>
        <w:t xml:space="preserve"> </w:t>
      </w:r>
      <w:r>
        <w:t xml:space="preserve">a). The relevant underlying datasheet was imported from the digital supplement and all plotted data points were manually counted, confirming that the same number of analyses in the dataset were plotted in the publication. As the data were published in a table in a PDF file, these were copy-pasted into Microsoft Excel, manually manipulated into columns using the ‘Text to Columns’-function, and cleaned. To minimise potential impact of human error in this step, as this could not be automatised, the analysis was attempted several times.</w:t>
      </w:r>
    </w:p>
    <w:p>
      <w:pPr>
        <w:pStyle w:val="Textkrper"/>
      </w:pPr>
      <w:r>
        <w:t xml:space="preserve">The resulting compositional data, as well as the necessary archaeological metadata for the iconography was loaded into R (full code in the compendium: ###). The data were CLR transformed using the function</w:t>
      </w:r>
      <w:r>
        <w:t xml:space="preserve"> </w:t>
      </w:r>
      <w:r>
        <w:rPr>
          <w:i/>
          <w:iCs/>
        </w:rPr>
        <w:t xml:space="preserve">clr()</w:t>
      </w:r>
      <w:r>
        <w:t xml:space="preserve"> </w:t>
      </w:r>
      <w:r>
        <w:t xml:space="preserve">of the R package compositions</w:t>
      </w:r>
      <w:r>
        <w:t xml:space="preserve"> </w:t>
      </w:r>
      <w:r>
        <w:t xml:space="preserve">(</w:t>
      </w:r>
      <w:r>
        <w:t xml:space="preserve">van den Boogaart et al.</w:t>
      </w:r>
      <w:r>
        <w:t xml:space="preserve"> </w:t>
      </w:r>
      <w:r>
        <w:t xml:space="preserve">2025)</w:t>
      </w:r>
      <w:r>
        <w:t xml:space="preserve"> </w:t>
      </w:r>
      <w:r>
        <w:t xml:space="preserve">and used to perform a series of six different PCAs, experimenting with different parameters across the two most commonly used R functions for PCA:</w:t>
      </w:r>
      <w:r>
        <w:t xml:space="preserve"> </w:t>
      </w:r>
      <w:r>
        <w:rPr>
          <w:i/>
          <w:iCs/>
        </w:rPr>
        <w:t xml:space="preserve">prcomp()</w:t>
      </w:r>
      <w:r>
        <w:t xml:space="preserve"> </w:t>
      </w:r>
      <w:r>
        <w:t xml:space="preserve">and</w:t>
      </w:r>
      <w:r>
        <w:t xml:space="preserve"> </w:t>
      </w:r>
      <w:r>
        <w:rPr>
          <w:i/>
          <w:iCs/>
        </w:rPr>
        <w:t xml:space="preserve">princomp()</w:t>
      </w:r>
      <w:r>
        <w:t xml:space="preserve">. Because it is not specified in the original publication, the PCA was calculated for both the covariance and the correlation matrix, and both were run with centered and uncentered data.</w:t>
      </w:r>
    </w:p>
    <w:p>
      <w:pPr>
        <w:pStyle w:val="Textkrper"/>
      </w:pPr>
      <w:r>
        <w:t xml:space="preserve">For</w:t>
      </w:r>
      <w:r>
        <w:t xml:space="preserve"> </w:t>
      </w:r>
      <w:r>
        <w:rPr>
          <w:i/>
          <w:iCs/>
        </w:rPr>
        <w:t xml:space="preserve">princomp()</w:t>
      </w:r>
      <w:r>
        <w:t xml:space="preserve">, which automatically centers the data, two iterations were run (</w:t>
      </w:r>
      <w:hyperlink w:anchor="fig-reprod-PCA">
        <w:r>
          <w:rPr>
            <w:rStyle w:val="Hyperlink"/>
          </w:rPr>
          <w:t xml:space="preserve">Figure 3</w:t>
        </w:r>
      </w:hyperlink>
      <w:r>
        <w:t xml:space="preserve"> </w:t>
      </w:r>
      <w:r>
        <w:t xml:space="preserve">b,c):</w:t>
      </w:r>
    </w:p>
    <w:p>
      <w:pPr>
        <w:pStyle w:val="Compact"/>
        <w:numPr>
          <w:ilvl w:val="0"/>
          <w:numId w:val="1014"/>
        </w:numPr>
      </w:pPr>
      <w:r>
        <w:t xml:space="preserve">scaled data, centered (correlation)</w:t>
      </w:r>
    </w:p>
    <w:p>
      <w:pPr>
        <w:pStyle w:val="Compact"/>
        <w:numPr>
          <w:ilvl w:val="0"/>
          <w:numId w:val="1014"/>
        </w:numPr>
      </w:pPr>
      <w:r>
        <w:t xml:space="preserve">unscaled data, centered (covariance)</w:t>
      </w:r>
    </w:p>
    <w:p>
      <w:pPr>
        <w:pStyle w:val="FirstParagraph"/>
      </w:pPr>
      <w:r>
        <w:t xml:space="preserve">For</w:t>
      </w:r>
      <w:r>
        <w:t xml:space="preserve"> </w:t>
      </w:r>
      <w:r>
        <w:rPr>
          <w:i/>
          <w:iCs/>
        </w:rPr>
        <w:t xml:space="preserve">prcomp()</w:t>
      </w:r>
      <w:r>
        <w:t xml:space="preserve">, which takes the arguments</w:t>
      </w:r>
      <w:r>
        <w:t xml:space="preserve"> </w:t>
      </w:r>
      <w:r>
        <w:rPr>
          <w:i/>
          <w:iCs/>
        </w:rPr>
        <w:t xml:space="preserve">scale.</w:t>
      </w:r>
      <w:r>
        <w:t xml:space="preserve"> </w:t>
      </w:r>
      <w:r>
        <w:t xml:space="preserve">and</w:t>
      </w:r>
      <w:r>
        <w:t xml:space="preserve"> </w:t>
      </w:r>
      <w:r>
        <w:rPr>
          <w:i/>
          <w:iCs/>
        </w:rPr>
        <w:t xml:space="preserve">center</w:t>
      </w:r>
      <w:r>
        <w:t xml:space="preserve"> </w:t>
      </w:r>
      <w:r>
        <w:t xml:space="preserve">for scaling and centering respectively, four permutations were performed (</w:t>
      </w:r>
      <w:hyperlink w:anchor="fig-reprod-PCA">
        <w:r>
          <w:rPr>
            <w:rStyle w:val="Hyperlink"/>
          </w:rPr>
          <w:t xml:space="preserve">Figure 3</w:t>
        </w:r>
      </w:hyperlink>
      <w:r>
        <w:t xml:space="preserve"> </w:t>
      </w:r>
      <w:r>
        <w:t xml:space="preserve">d–g):</w:t>
      </w:r>
    </w:p>
    <w:p>
      <w:pPr>
        <w:pStyle w:val="Compact"/>
        <w:numPr>
          <w:ilvl w:val="0"/>
          <w:numId w:val="1015"/>
        </w:numPr>
      </w:pPr>
      <w:r>
        <w:t xml:space="preserve">scaled data, centered (correlation)</w:t>
      </w:r>
    </w:p>
    <w:p>
      <w:pPr>
        <w:pStyle w:val="Compact"/>
        <w:numPr>
          <w:ilvl w:val="0"/>
          <w:numId w:val="1015"/>
        </w:numPr>
      </w:pPr>
      <w:r>
        <w:t xml:space="preserve">unscaled data, centered (covariance)</w:t>
      </w:r>
    </w:p>
    <w:p>
      <w:pPr>
        <w:pStyle w:val="Compact"/>
        <w:numPr>
          <w:ilvl w:val="0"/>
          <w:numId w:val="1015"/>
        </w:numPr>
      </w:pPr>
      <w:r>
        <w:t xml:space="preserve">scaled data, but uncentered (correlation)</w:t>
      </w:r>
    </w:p>
    <w:p>
      <w:pPr>
        <w:pStyle w:val="Compact"/>
        <w:numPr>
          <w:ilvl w:val="0"/>
          <w:numId w:val="1015"/>
        </w:numPr>
      </w:pPr>
      <w:r>
        <w:t xml:space="preserve">unscaled data, uncentered (covariance)</w:t>
      </w:r>
    </w:p>
    <w:p>
      <w:pPr>
        <w:pStyle w:val="FirstParagraph"/>
      </w:pPr>
      <w:r>
        <w:t xml:space="preserve">Graphs of the individuals and the variables were plotted for each of the six permutations. None of the resulting biplots were a match to the published graphs, in both the distribution and variation and the relative contribution of components 1 and 2 on the x- and y-axis. In some cases, namely options 3 and 4 using</w:t>
      </w:r>
      <w:r>
        <w:t xml:space="preserve"> </w:t>
      </w:r>
      <w:r>
        <w:rPr>
          <w:i/>
          <w:iCs/>
        </w:rPr>
        <w:t xml:space="preserve">prcomp()</w:t>
      </w:r>
      <w:r>
        <w:t xml:space="preserve">, higher overall contribution percentages were achieved than in the original graph. The correlation calculations on centered data were the closest mathematical matches to the original graph (28.8% and 14.9% on x- and y-axis, respectively, compared to the original 29.3% and 11.3%). Because of the mathematical mismatch, full reproduction of the colour-coding according to the archaeological metadata was not attempted.</w:t>
      </w:r>
    </w:p>
    <w:p>
      <w:pPr>
        <w:pStyle w:val="Textkrper"/>
      </w:pPr>
      <w:r>
        <w:t xml:space="preserve">On the other end of the reproducibility spectrum for multi-variate statistics visualisations are two cases, which are highlighted here as examples of excellent practice. Both include include the hard-coded data pipeline in fully commented R code files as supplements</w:t>
      </w:r>
      <w:r>
        <w:t xml:space="preserve"> </w:t>
      </w:r>
      <w:r>
        <w:t xml:space="preserve">(Stodolová et al. 2025; Erb-Satullo and Klymchuk 2025)</w:t>
      </w:r>
      <w:r>
        <w:t xml:space="preserve">. This meant any choices regarding data selection, normalisation (e.g. for ternary diagrams), scaling or handling missing values were all documented and easy to follow for the outsider.</w:t>
      </w:r>
      <w:r>
        <w:t xml:space="preserve"> </w:t>
      </w:r>
      <w:r>
        <w:t xml:space="preserve">Stodolová et al. (2025)</w:t>
      </w:r>
      <w:r>
        <w:t xml:space="preserve"> </w:t>
      </w:r>
      <w:r>
        <w:t xml:space="preserve">in particular provided a wealth of information for HCA and PCA, as well as providing individualised code for additional graphs that were not included in the paper, effectively using the code supplement as an additional analytical offering. One other publication</w:t>
      </w:r>
      <w:r>
        <w:t xml:space="preserve"> </w:t>
      </w:r>
      <w:r>
        <w:t xml:space="preserve">(Lachenal et al. 2026)</w:t>
      </w:r>
      <w:r>
        <w:t xml:space="preserve"> </w:t>
      </w:r>
      <w:r>
        <w:t xml:space="preserve">included full variance tables and eigenvalues for their PCA work in their supplement, enabling very straightforward reproduction of the original graphs. The calculation of these values was also possible with minor experimentation.</w:t>
      </w:r>
    </w:p>
    <w:bookmarkEnd w:id="73"/>
    <w:bookmarkStart w:id="78" w:name="bi-variate-plots"/>
    <w:p>
      <w:pPr>
        <w:pStyle w:val="berschrift5"/>
      </w:pPr>
      <w:r>
        <w:t xml:space="preserve">Bi-variate plots</w:t>
      </w:r>
    </w:p>
    <w:p>
      <w:pPr>
        <w:pStyle w:val="FirstParagraph"/>
      </w:pPr>
      <w:r>
        <w:t xml:space="preserve">Graphs that require minimal data manipulation and that can usually handle zero values such as scatter plots and box plots were generally easy to reproduce by importing the datasets into R and using ggplot2</w:t>
      </w:r>
      <w:r>
        <w:t xml:space="preserve"> </w:t>
      </w:r>
      <w:r>
        <w:t xml:space="preserve">(Wickham 2016)</w:t>
      </w:r>
      <w:r>
        <w:t xml:space="preserve"> </w:t>
      </w:r>
      <w:r>
        <w:t xml:space="preserve">to reproduce the plotting coordinates and any archaeologically informed colour-coding and iconography. However, several issues were encountered here as well, mostly regarding data selection, missing archaeological metadata or missing compositional data. Missing, incomplete, ambiguous or inconsistent labelling of metadata in text, graph and dataset sometimes meant iconography of graphs (shapes and colours) could not be replicated directly, but this was usually possible to retro-engineer.</w:t>
      </w:r>
    </w:p>
    <w:p>
      <w:pPr>
        <w:pStyle w:val="Textkrper"/>
      </w:pPr>
      <w:r>
        <w:t xml:space="preserve">One anonymised example is highlighted here as example of insufficiently documented data selection and outlier treatment (</w:t>
      </w:r>
      <w:hyperlink w:anchor="fig-reprod-scatter">
        <w:r>
          <w:rPr>
            <w:rStyle w:val="Hyperlink"/>
          </w:rPr>
          <w:t xml:space="preserve">Figure 4</w:t>
        </w:r>
      </w:hyperlink>
      <w:r>
        <w:t xml:space="preserve">). The original graph was published in article 96 in our survey, which included the raw underlying data collected by the authors and a supplement of comparative data sourced from other publications. As the original image caption did not indicate that comparative data were used, only the original data were used for the first reproduction attempt. An outlier is not included in the published plot and although it was explicitly discussed in the text, its removal was not documented. Other data points were also absent, resulting in the inclusion of the comparative data provided in their supplement. This attempt filled in some gaps in point distribution identifiable in the previous attempt; however, new points were added that are not present in the original graph.</w:t>
      </w:r>
    </w:p>
    <w:p>
      <w:pPr>
        <w:pStyle w:val="Textkrper"/>
      </w:pPr>
      <w:r>
        <w:t xml:space="preserve">We hope to make clear with this example that the scatter plot as published in the original article is clearly based on the data provided in the articles text and appendices, but that a selection of data was made that was not indicated transparently in the article itself. The use of comparative data in the original graph was also not stated in the caption or in the text. Although this was findable, the lack of clarity around what data or selection of data were used for visualisations led to friction for the reproducer and reduced confidence and trust in the information provided for the re-user.</w:t>
      </w:r>
    </w:p>
    <w:tbl>
      <w:tblPr>
        <w:tblStyle w:val="Table"/>
        <w:tblW w:type="pct" w:w="5000"/>
        <w:tblLayout w:type="fixed"/>
        <w:tblLook w:firstRow="0" w:lastRow="0" w:firstColumn="0" w:lastColumn="0" w:noHBand="0" w:noVBand="0" w:val="0000"/>
      </w:tblPr>
      <w:tblGrid>
        <w:gridCol w:w="7920"/>
      </w:tblGrid>
      <w:tr>
        <w:tc>
          <w:tcPr/>
          <w:bookmarkStart w:id="77" w:name="fig-reprod-scatter"/>
          <w:p>
            <w:pPr>
              <w:pStyle w:val="Compact"/>
              <w:jc w:val="center"/>
            </w:pPr>
            <w:r>
              <w:drawing>
                <wp:inline>
                  <wp:extent cx="5943600" cy="1762932"/>
                  <wp:effectExtent b="0" l="0" r="0" t="0"/>
                  <wp:docPr descr="" title="" id="75" name="Picture"/>
                  <a:graphic>
                    <a:graphicData uri="http://schemas.openxmlformats.org/drawingml/2006/picture">
                      <pic:pic>
                        <pic:nvPicPr>
                          <pic:cNvPr descr="paper_files/figure-docx/fig-reprod-scatter-1.png" id="76" name="Picture"/>
                          <pic:cNvPicPr>
                            <a:picLocks noChangeArrowheads="1" noChangeAspect="1"/>
                          </pic:cNvPicPr>
                        </pic:nvPicPr>
                        <pic:blipFill>
                          <a:blip r:embed="rId74"/>
                          <a:stretch>
                            <a:fillRect/>
                          </a:stretch>
                        </pic:blipFill>
                        <pic:spPr bwMode="auto">
                          <a:xfrm>
                            <a:off x="0" y="0"/>
                            <a:ext cx="5943600" cy="1762932"/>
                          </a:xfrm>
                          <a:prstGeom prst="rect">
                            <a:avLst/>
                          </a:prstGeom>
                          <a:noFill/>
                          <a:ln w="9525">
                            <a:noFill/>
                            <a:headEnd/>
                            <a:tailEnd/>
                          </a:ln>
                        </pic:spPr>
                      </pic:pic>
                    </a:graphicData>
                  </a:graphic>
                </wp:inline>
              </w:drawing>
            </w:r>
          </w:p>
          <w:p>
            <w:pPr>
              <w:jc w:val="center"/>
            </w:pPr>
            <w:pPr>
              <w:jc w:val="left"/>
              <w:spacing w:before="200"/>
              <w:pStyle w:val="ImageCaption"/>
            </w:pPr>
            <w:r>
              <w:t xml:space="preserve">Figure 4: Attempted reproduction of Figure 4a in article 96. (a) The anonymised original plot; (b) The reproduced plot with the data provided in the article; (c) The reproduced plot with data in the appendix. Data for group 4 taken from the text because the appendix does not include data for this group. Note that data reported in the text and the appendix overlaps, and that the axis limits exclude a data point from Group 4 at</w:t>
            </w:r>
            <w:r>
              <w:t xml:space="preserve"> </w:t>
            </w:r>
            <w:r>
              <w:rPr>
                <w:vertAlign w:val="superscript"/>
              </w:rPr>
              <w:t xml:space="preserve">206</w:t>
            </w:r>
            <w:r>
              <w:t xml:space="preserve">Pb/</w:t>
            </w:r>
            <w:r>
              <w:rPr>
                <w:vertAlign w:val="superscript"/>
              </w:rPr>
              <w:t xml:space="preserve">204</w:t>
            </w:r>
            <w:r>
              <w:t xml:space="preserve">Pb = 23.553,</w:t>
            </w:r>
            <w:r>
              <w:t xml:space="preserve"> </w:t>
            </w:r>
            <w:r>
              <w:rPr>
                <w:vertAlign w:val="superscript"/>
              </w:rPr>
              <w:t xml:space="preserve">207</w:t>
            </w:r>
            <w:r>
              <w:t xml:space="preserve">Pb/</w:t>
            </w:r>
            <w:r>
              <w:rPr>
                <w:vertAlign w:val="superscript"/>
              </w:rPr>
              <w:t xml:space="preserve">204</w:t>
            </w:r>
            <w:r>
              <w:t xml:space="preserve">Pb = 16.443. Two isotope ratio scatterplots were published in this article and both were subjected to the reproduction attempts described here; only one is included here because identical problems were encountered for both.</w:t>
            </w:r>
          </w:p>
          <w:bookmarkEnd w:id="77"/>
        </w:tc>
      </w:tr>
    </w:tbl>
    <w:bookmarkEnd w:id="78"/>
    <w:bookmarkEnd w:id="79"/>
    <w:bookmarkEnd w:id="80"/>
    <w:bookmarkEnd w:id="81"/>
    <w:bookmarkEnd w:id="82"/>
    <w:bookmarkStart w:id="91" w:name="discussion-and-recommendations"/>
    <w:p>
      <w:pPr>
        <w:pStyle w:val="berschrift1"/>
      </w:pPr>
      <w:r>
        <w:t xml:space="preserve">Discussion and recommendations</w:t>
      </w:r>
    </w:p>
    <w:p>
      <w:pPr>
        <w:pStyle w:val="FirstParagraph"/>
      </w:pPr>
      <w:r>
        <w:t xml:space="preserve">Lower scores on the metrics associated with the analytical protocol indicate that descriptions were incomplete or that necessary details were glossed over. As these are also the more technical aspects of data-led publications, this may very well be due to word count restraints, the desire by authors not to repeat themselves across multiple publications if settings or protocols are identical to previous work (as indicated in some publications were citations are given to previous work in the methodology section), an assumption by specialists that this information is self-explanatory or irrelevant to the reader, or a combination of these factors.</w:t>
      </w:r>
    </w:p>
    <w:p>
      <w:pPr>
        <w:pStyle w:val="Textkrper"/>
      </w:pPr>
      <w:r>
        <w:t xml:space="preserve">Stages related to computational reproducibility that scored low indicate a range of experiences: from missing information that made reproduction impossible (such as how zero/bdl values were handled to missing parameters on multi-variate statistics) to reproduction with a certain level of friction (information was present but needed to be pulled from different tables/appendices or data were provided in formats that were error-prone for re-use). Notably, stage 2 (inclusion of original data) scored relatively low with an average of 1.2 (</w:t>
      </w:r>
      <w:hyperlink w:anchor="fig-bar-plot">
        <w:r>
          <w:rPr>
            <w:rStyle w:val="Hyperlink"/>
          </w:rPr>
          <w:t xml:space="preserve">Figure 2</w:t>
        </w:r>
      </w:hyperlink>
      <w:r>
        <w:t xml:space="preserve">), due to the inclusion of re-use friction as a contributing factor in our scoring system and the relatively common use of tables in text or digital supplements of PDF or Microsoft Word files. For stages 10 and 11, it should be borne in mind that of the 100 articles that were analysed, 79 did not include any statistical analyses (scoring an NA). Similarly, 21 articles did not include any visualisations of compositional data (stage 12). This means the overall scores on these stages are based on only a subsection of the dataset.</w:t>
      </w:r>
    </w:p>
    <w:p>
      <w:pPr>
        <w:pStyle w:val="Textkrper"/>
      </w:pPr>
      <w:r>
        <w:t xml:space="preserve">About half of the surveyed articles in each stage were already fully reproducible (score 2), and, except for stage 5, only a small number of articles per stage was not reproducible (score 0). This shows that the community is already well aware of the topic while room for improvement remains. The reproducibility index presented here provides pointers for authors, reviewers, and editors for further increasing the reproducibility of research output. For the topics with the highest potential for improvement, additional recommendations will be provided below: analytical protocols, handling of analytical uncertainty, transparency in data treatment, adoption of standardised terminologies, and visualisation.</w:t>
      </w:r>
    </w:p>
    <w:bookmarkStart w:id="84" w:name="X262c72236698224a2f7f202c1fc2a82820fe8fe"/>
    <w:p>
      <w:pPr>
        <w:pStyle w:val="berschrift2"/>
      </w:pPr>
      <w:r>
        <w:t xml:space="preserve">Recording analytical protocols and decision trajectories</w:t>
      </w:r>
    </w:p>
    <w:p>
      <w:pPr>
        <w:pStyle w:val="FirstParagraph"/>
      </w:pPr>
      <w:r>
        <w:t xml:space="preserve">To improve the reproducibility of analytical methods and at the same time achieve higher transparency of methodological choices to better inform data re-use, many methodology sections need to be more elaborate. Based on the literature survey, this especially concerns information about how and where objects where sampled, the classification of data as outliers and their handling, normalisation of data and data transformation in e.g. preparation for statistical analysis. Given the preponderance of digital publishing formats, the use of accompanying open access data publications with permissible licenses should be encouraged by (co-)authors, reviewers and editors. This recommendation mirrors many journal guidelines. The advantages of such data publications are clear: They allow the space to provide full details without taking away from the overall flow of an article’s arguments and impacting the word limit for an article. This may be especially useful for studies employing multiple analytical techniques and to outline sampling decisions and/or deviations from standard analytical protocols. Further, they allow that methodological information and data are accessible by everyone even if the article is not published in open access.</w:t>
      </w:r>
    </w:p>
    <w:p>
      <w:pPr>
        <w:pStyle w:val="Textkrper"/>
      </w:pPr>
      <w:r>
        <w:t xml:space="preserve">Some surveyed publications kept their methodology sections brief by citing analytical protocols (usually their own), which is an effective alternate strategy. However, it puts more of the onus of chasing down references on the re-user and can restrict access to this information if the re-user does not have access to the cited publication. Especially with regards to the latter, we encourage authors to consider alternative options to make their analytical protocols citable, such as the free and open access platform</w:t>
      </w:r>
      <w:r>
        <w:t xml:space="preserve"> </w:t>
      </w:r>
      <w:hyperlink r:id="rId83">
        <w:r>
          <w:rPr>
            <w:rStyle w:val="Hyperlink"/>
          </w:rPr>
          <w:t xml:space="preserve">protocols.io</w:t>
        </w:r>
      </w:hyperlink>
      <w:r>
        <w:t xml:space="preserve">.</w:t>
      </w:r>
    </w:p>
    <w:bookmarkEnd w:id="84"/>
    <w:bookmarkStart w:id="85" w:name="analytical-uncertainty"/>
    <w:p>
      <w:pPr>
        <w:pStyle w:val="berschrift2"/>
      </w:pPr>
      <w:r>
        <w:t xml:space="preserve">Analytical uncertainty</w:t>
      </w:r>
    </w:p>
    <w:p>
      <w:pPr>
        <w:pStyle w:val="FirstParagraph"/>
      </w:pPr>
      <w:r>
        <w:t xml:space="preserve">Stage 5, the inclusion of analytical uncertainties in the reported data, was the most non-reproducible stage among the surveyed literature with almost a fifth of the surveyed articles receiving a score of 0. Most often, analytical uncertainties were not provided for compositional data, especially data obtained by XRF and SEM methods. Consequently, also many plots of compositional data do not include the analytical uncertainties as error bars. Like all measured quantities, compositional data are not a precise value but probability distributions, with the mean as the most likely value and a value describing the probability distribution’s spread, usually the standard variation. This means that reporting only the mean but not the analytical uncertainty can create a wrong impression of the data and could, e.g., result in the erroneous assignments of artefacts to compositional groups. Moreover, extracting the analytical uncertainties of measurement data from the instrument software is usually straightforward; for example, they are included in the standard output of pXRF instruments. Therefore, researchers must always include analytical uncertainties for all measured values in their research output, and reviewers and editors should always request this information from the authors.</w:t>
      </w:r>
    </w:p>
    <w:bookmarkEnd w:id="85"/>
    <w:bookmarkStart w:id="86" w:name="X8d794bfb1cb27d2558fdfcf2e77dea047d2f6a6"/>
    <w:p>
      <w:pPr>
        <w:pStyle w:val="berschrift2"/>
      </w:pPr>
      <w:r>
        <w:t xml:space="preserve">Computational reproducibility and transparency</w:t>
      </w:r>
    </w:p>
    <w:p>
      <w:pPr>
        <w:pStyle w:val="FirstParagraph"/>
      </w:pPr>
      <w:r>
        <w:t xml:space="preserve">While the analytical protocols encountered in the bibliographic analysis were incredibly varied, the data analytics (statistical tests and forms of visualisation) were fairly standardised across the spectrum. This uniformity of computational approaches makes this part of the research process uniquely suited to the type of computational and formal reproducibility efforts as espoused by</w:t>
      </w:r>
      <w:r>
        <w:t xml:space="preserve"> </w:t>
      </w:r>
      <w:r>
        <w:t xml:space="preserve">Marwick (2025)</w:t>
      </w:r>
      <w:r>
        <w:t xml:space="preserve">. However, a detailed recording of computational analytics in coded scripts may be beyond the skill sets of many researchers and, while transparency is to be encouraged, a reasonable trade-off is sometimes made for lack of incentives or time pressure</w:t>
      </w:r>
      <w:r>
        <w:t xml:space="preserve"> </w:t>
      </w:r>
      <w:r>
        <w:t xml:space="preserve">(Abdill et al. 2024)</w:t>
      </w:r>
      <w:r>
        <w:t xml:space="preserve">. The latter may be especially pressing for small-scale studies, studies with a single author, studies by early career researchers, or studies without large amounts of funding backing them. Furthermore, if every study going forward were to produce their own hard-coded data pipeline, this would create a great wealth of methodologies and approaches, which does not necessarily lead to further standardisation of approaches or adoption of methodologies by other scholars.</w:t>
      </w:r>
    </w:p>
    <w:p>
      <w:pPr>
        <w:pStyle w:val="Textkrper"/>
      </w:pPr>
      <w:r>
        <w:t xml:space="preserve">Assumptions about how analytical data are constructed or are expected to behave must be made explicit and inform the choice for an appropriate statistical test or necessary data transformation. An example might be the use of kernel density estimates in cases where a normal or Gaussian distribution cannot be assumed</w:t>
      </w:r>
      <w:r>
        <w:t xml:space="preserve"> </w:t>
      </w:r>
      <w:r>
        <w:t xml:space="preserve">(Baxter and Gale 1998; Hsu et al. 2018)</w:t>
      </w:r>
      <w:r>
        <w:t xml:space="preserve">.</w:t>
      </w:r>
    </w:p>
    <w:bookmarkEnd w:id="86"/>
    <w:bookmarkStart w:id="87" w:name="adoption-of-standardised-terminologies"/>
    <w:p>
      <w:pPr>
        <w:pStyle w:val="berschrift2"/>
      </w:pPr>
      <w:r>
        <w:t xml:space="preserve">Adoption of standardised terminologies</w:t>
      </w:r>
    </w:p>
    <w:p>
      <w:pPr>
        <w:pStyle w:val="FirstParagraph"/>
      </w:pPr>
      <w:r>
        <w:t xml:space="preserve">Reproducibility of research greatly benefits from avoiding ambiguity in the terms and abbreviations used and, especially if ambiguity cannot be avoided, referring to established definitions for them. Thesauri such as the Arts and Architecture Thesaurus of the Getty Research Institute</w:t>
      </w:r>
      <w:r>
        <w:t xml:space="preserve"> </w:t>
      </w:r>
      <w:r>
        <w:t xml:space="preserve">(Harpring 2010)</w:t>
      </w:r>
      <w:r>
        <w:t xml:space="preserve"> </w:t>
      </w:r>
      <w:r>
        <w:t xml:space="preserve">are predestined for this task, and so are controlled vocabularies if they include definitions of the terms. Adopting their use and actively referring to terms in them lowers barriers for readers unfamiliar with regional specifics by making it easy to find definitions. In addition, it facilitates comparison between publications and the combination of datasets. While use of standard terminologies may not directly contribute to reproducibility in the sense of analytical or computational reproducibility, they contribute to the replicability of research.</w:t>
      </w:r>
    </w:p>
    <w:bookmarkEnd w:id="87"/>
    <w:bookmarkStart w:id="88" w:name="visualisation"/>
    <w:p>
      <w:pPr>
        <w:pStyle w:val="berschrift2"/>
      </w:pPr>
      <w:r>
        <w:t xml:space="preserve">Visualisation</w:t>
      </w:r>
    </w:p>
    <w:p>
      <w:pPr>
        <w:pStyle w:val="FirstParagraph"/>
      </w:pPr>
      <w:r>
        <w:t xml:space="preserve">Visualisations in a little over one third of the articles could not or only partially reproduced. Reasons can be generally grouped into three cases: the plot itself, hampered connections between the reported and the visualised data and a detachment of reported data and visualisation. Reproducibility barriers created by the visualisation itself are rare and represent, for example, regressions lines or ellipses without further explanation. Consequently, their meaning cannot be understood: Is, for example, an ellipsis a statistical confidence ellipsis or is it an annotation to highlight specific parts of the data?</w:t>
      </w:r>
    </w:p>
    <w:p>
      <w:pPr>
        <w:pStyle w:val="Textkrper"/>
      </w:pPr>
      <w:r>
        <w:t xml:space="preserve">More abundant were hampered links between the reported data and the visualised data. These cases include differences between reported and visualised values for individual data points, probably indicating typos or transposed digits. They also include cases with insufficient contextual information, meaning that the dataset was plotted correctly but e.g. the variable used for grouping (e.g. by point colour) could not be found in the data or that data were selected and/or grouped according to imprecisely defined criteria, such as the absence of the threshold applied to differentiate between regular and high-tin bronzes. Finally, a few articles reported only averages of individual measurements while plotting the individual readings.</w:t>
      </w:r>
    </w:p>
    <w:p>
      <w:pPr>
        <w:pStyle w:val="Textkrper"/>
      </w:pPr>
      <w:r>
        <w:t xml:space="preserve">Most often, however, plots are not reproducible as a direct consequence of non-reproducible data transformation and processing, leading to a detachment of the visualisation from the reported data. A particularly abundant case is the undocumented handling of values below the detection limit or the absence of data points, presumably outliers. Similarly, most visualisations of multi-variate statistics outcomes such as dendrograms could not be reproduced because the statistics itself was not reproducible.</w:t>
      </w:r>
    </w:p>
    <w:p>
      <w:pPr>
        <w:pStyle w:val="Textkrper"/>
      </w:pPr>
      <w:r>
        <w:t xml:space="preserve">All these findings highlight the importance of data pipelines for data processing, including visualisation, and the publication of raw data alongside them in the publication or accompanying data publication</w:t>
      </w:r>
      <w:r>
        <w:t xml:space="preserve"> </w:t>
      </w:r>
      <w:r>
        <w:t xml:space="preserve">(Marwick et al. 2018; Nüst et al. 2020; Marwick 2025)</w:t>
      </w:r>
      <w:r>
        <w:t xml:space="preserve">. This combination guarantees that the link between the data and the visualisations cannot break. Because every step is recorded, the risk for human error is significantly reduced. In fact, any direct human interaction with the dataset can be eliminated if the pipeline starts directly at the raw data. Moreover, reviewers and data re-users can run the pipeline as well, providing an easy way to verify that data processing is reproducible.</w:t>
      </w:r>
    </w:p>
    <w:bookmarkEnd w:id="88"/>
    <w:bookmarkStart w:id="89" w:name="a-way-forward-astr"/>
    <w:p>
      <w:pPr>
        <w:pStyle w:val="berschrift2"/>
      </w:pPr>
      <w:r>
        <w:t xml:space="preserve">A way forward: ASTR</w:t>
      </w:r>
    </w:p>
    <w:p>
      <w:pPr>
        <w:pStyle w:val="FirstParagraph"/>
      </w:pPr>
      <w:r>
        <w:t xml:space="preserve">A promising way towards increased computational reproducibility of analytical data may be the adoption of the community-driven reporting format recently suggested by the developers of the R package ASTR “Archaeometric Standards and Tools in R”. In contrast to previous suggestions</w:t>
      </w:r>
      <w:r>
        <w:t xml:space="preserve"> </w:t>
      </w:r>
      <w:r>
        <w:t xml:space="preserve">(e.g., Case et al. 2024; Staudigel et al. 2003)</w:t>
      </w:r>
      <w:r>
        <w:t xml:space="preserve">, this community-driven reporting format defines a set of conventions that reduces implicit information in datasets to a minimum and makes them easy to read for machines and humans alike. It is software and language agnostic and compliant datasets can be prepared with any spreadsheet software. The accompanying R package</w:t>
      </w:r>
      <w:r>
        <w:t xml:space="preserve"> </w:t>
      </w:r>
      <w:r>
        <w:t xml:space="preserve">(</w:t>
      </w:r>
      <w:r>
        <w:t xml:space="preserve">Rose et al.</w:t>
      </w:r>
      <w:r>
        <w:t xml:space="preserve"> </w:t>
      </w:r>
      <w:r>
        <w:t xml:space="preserve">2026)</w:t>
      </w:r>
      <w:r>
        <w:t xml:space="preserve"> </w:t>
      </w:r>
      <w:r>
        <w:t xml:space="preserve">increases transparency and reproducibility of data pipelines by providing a citable and open source toolbox for common steps in the discipline’s data pipeline, such as data import, data transformation, visualisation, and statistics. While many of the functions in the ASTR package do not depend on a dataset in the reporting format, adhering to it provides a lot of convenience such as automatic conversion of units and dedicated functions for data subsetting.</w:t>
      </w:r>
    </w:p>
    <w:bookmarkEnd w:id="89"/>
    <w:bookmarkStart w:id="90" w:name="data-availability-statements"/>
    <w:p>
      <w:pPr>
        <w:pStyle w:val="berschrift2"/>
      </w:pPr>
      <w:r>
        <w:t xml:space="preserve">Data availability statements</w:t>
      </w:r>
    </w:p>
    <w:p>
      <w:pPr>
        <w:pStyle w:val="FirstParagraph"/>
      </w:pPr>
      <w:r>
        <w:t xml:space="preserve">We already highlighted in the introduction the opportunity within this study to analyse compliance with data availability statement requirements</w:t>
      </w:r>
      <w:r>
        <w:t xml:space="preserve"> </w:t>
      </w:r>
      <w:r>
        <w:t xml:space="preserve">(see criticism in Marwick 2025)</w:t>
      </w:r>
      <w:r>
        <w:t xml:space="preserve">. Some patterns are observable in how these statements are used, some of which seem to indicate a misunderstanding of what they mean and some seem specific to certain journal policies.</w:t>
      </w:r>
      <w:r>
        <w:t xml:space="preserve"> </w:t>
      </w:r>
      <w:r>
        <w:t xml:space="preserve">13 publications did not feature a data availability statement, mostly in journals that do not usually feature them (METALLA) or only recently introduced them (Historical Metallurgy). It is also worth noting that two articles were found without such statements in the Journal of Archaeological Science, which employs a reproducibility editor.</w:t>
      </w:r>
    </w:p>
    <w:p>
      <w:pPr>
        <w:pStyle w:val="Textkrper"/>
      </w:pPr>
      <w:r>
        <w:t xml:space="preserve">Just over a third of all surveyed articles (37) featured data availability statements that accurately and completely summarised the availability of data in the publication: when data were included in the manuscript, the supplement, or both, this was correctly noted. That makes the current state of use for data availability statements seem rather dire, but it is a little more complicated than that.</w:t>
      </w:r>
    </w:p>
    <w:p>
      <w:pPr>
        <w:pStyle w:val="Textkrper"/>
      </w:pPr>
      <w:r>
        <w:t xml:space="preserve">Of the remaining 50 articles, five contained data in a different format than the availability statement claimed. 13 of them claimed data would be made available upon request but still provided it in tables or supplements. Maybe this suggests that less processed data or data in a different format could be accessed. Finally, 32 publications included a statement claiming no data sets were generated or analysed, even though this was demonstrably the case and data were included in tables or supplements. This particular situation was mostly found in the journal Archaeological and Anthropological Sciences, suggesting that this may be a default option in the submission portal.</w:t>
      </w:r>
    </w:p>
    <w:p>
      <w:pPr>
        <w:pStyle w:val="Textkrper"/>
      </w:pPr>
      <w:r>
        <w:t xml:space="preserve">Based on this situation, the usefulness of data availability statements could be questioned. However, they undeniably provide a quick orientation where data can be found or why it is not provided. Therefore, these findings should be interpret as encouragement for editors and reviewers to become more rigorous in the application of the editorial policies, and a call to all authors to be more attentive when writing data availability statements.</w:t>
      </w:r>
    </w:p>
    <w:bookmarkEnd w:id="90"/>
    <w:bookmarkEnd w:id="91"/>
    <w:bookmarkStart w:id="92" w:name="conclusions"/>
    <w:p>
      <w:pPr>
        <w:pStyle w:val="berschrift1"/>
      </w:pPr>
      <w:r>
        <w:t xml:space="preserve">Conclusions</w:t>
      </w:r>
    </w:p>
    <w:p>
      <w:pPr>
        <w:pStyle w:val="FirstParagraph"/>
      </w:pPr>
      <w:r>
        <w:t xml:space="preserve">The inherently destructive nature of archaeological research makes reproducibility a key criteria for data quality in the discipline. The archaeological sciences are no different, especially if invasive and destructive sampling and analytical methods are involved. To investigate how reproducible the archaeological sciences currently are, a bibliographic survey was carried out on research articles publishing compositional or isotopic data on an archaeometallurgical topic in the field’s major journals between November 2024 and January 2026. A quantifiable description of an article’s reproducibility was gained through an index of 13 stages, each with a possible score of 0, 1 or 2, representing no, partial or full reproducibility. In contrast to previous studies, the stages were defined from a practitioner’s perspective and therefore combine for the first time aspects of analytical and computational reproducibility.</w:t>
      </w:r>
    </w:p>
    <w:p>
      <w:pPr>
        <w:pStyle w:val="Textkrper"/>
      </w:pPr>
      <w:r>
        <w:t xml:space="preserve">The bibliographic survey shows an overall good reproducibility with about 50% of the articles in each stage being fully reproducible, a median score of 16 per article, and a maximum score of 25 out of 26. However, notable differences between stages can be observed. Potential for improving reproducibility was identified in five major areas: analytical protocols, handling of analytical uncertainty, transparency in data treatment, adoption of standardised terminologies, and visualisation. Recommendations for improving reproducibility are given for each of the topics. Most importantly, data publications provide the option to record the necessary details about the sampling and analytical protocols that often cannot be included in the main article due to length restrictions. The adoption of data pipelines for data processing and transformation, ideally starting from the raw data, ensures full reproducibility of data processing and transformation, including statistical tests and visualisations.</w:t>
      </w:r>
    </w:p>
    <w:p>
      <w:pPr>
        <w:pStyle w:val="Textkrper"/>
      </w:pPr>
      <w:r>
        <w:t xml:space="preserve">While the surveyed literature is restricted to archaeometallurgical articles, similar findings are expected when all fields in the archaeological sciences creating and publishing compositional and isotopic data would be included. The recommendations can be readily adopted by them. More formalised insights into the state of reproducibility for other fields or data types are nevertheless required, and the presented index can serve as the starting points for this endeavour. These insights can then be used to develop best practices and tools tailored for the archaeological sciences, such as the best practices for pXRF data</w:t>
      </w:r>
      <w:r>
        <w:t xml:space="preserve"> </w:t>
      </w:r>
      <w:r>
        <w:t xml:space="preserve">(Johnson et al. 2024)</w:t>
      </w:r>
      <w:r>
        <w:t xml:space="preserve">, serving as common reference points. Ideally, such best practices are developed in collaboration with neighbouring fields that use the same analytical methods. Because of the huge variety of methods and data types, the archaeological sciences are in the unique position to spearhead and harmonise such efforts.</w:t>
      </w:r>
    </w:p>
    <w:bookmarkEnd w:id="92"/>
    <w:bookmarkStart w:id="93" w:name="funding"/>
    <w:p>
      <w:pPr>
        <w:pStyle w:val="berschrift1"/>
      </w:pPr>
      <w:r>
        <w:t xml:space="preserve">Funding</w:t>
      </w:r>
    </w:p>
    <w:p>
      <w:pPr>
        <w:pStyle w:val="FirstParagraph"/>
      </w:pPr>
      <w:r>
        <w:t xml:space="preserve">This study was funded by the Deutsche Forschungsgemeinschaft (DFG, German Research Foundation) – 571205551.</w:t>
      </w:r>
    </w:p>
    <w:bookmarkEnd w:id="93"/>
    <w:bookmarkStart w:id="98" w:name="statements-and-declarations"/>
    <w:p>
      <w:pPr>
        <w:pStyle w:val="berschrift1"/>
      </w:pPr>
      <w:r>
        <w:t xml:space="preserve">Statements and Declarations</w:t>
      </w:r>
    </w:p>
    <w:bookmarkStart w:id="95" w:name="data-availability-statement"/>
    <w:p>
      <w:pPr>
        <w:pStyle w:val="berschrift2"/>
      </w:pPr>
      <w:r>
        <w:t xml:space="preserve">Data availability statement</w:t>
      </w:r>
    </w:p>
    <w:p>
      <w:pPr>
        <w:pStyle w:val="FirstParagraph"/>
      </w:pPr>
      <w:r>
        <w:t xml:space="preserve">Survey results, including comments for each score as well as all code created in the study are made available on as data compendium on Zenodo (&lt;###DOI###&gt;) and as</w:t>
      </w:r>
      <w:r>
        <w:t xml:space="preserve"> </w:t>
      </w:r>
      <w:hyperlink r:id="rId94">
        <w:r>
          <w:rPr>
            <w:rStyle w:val="Hyperlink"/>
          </w:rPr>
          <w:t xml:space="preserve">Github repository</w:t>
        </w:r>
      </w:hyperlink>
      <w:r>
        <w:t xml:space="preserve">.</w:t>
      </w:r>
    </w:p>
    <w:bookmarkEnd w:id="95"/>
    <w:bookmarkStart w:id="96" w:name="competing-interests"/>
    <w:p>
      <w:pPr>
        <w:pStyle w:val="berschrift2"/>
      </w:pPr>
      <w:r>
        <w:t xml:space="preserve">Competing interests</w:t>
      </w:r>
    </w:p>
    <w:p>
      <w:pPr>
        <w:pStyle w:val="FirstParagraph"/>
      </w:pPr>
      <w:r>
        <w:t xml:space="preserve">The authors are part of the ASTR developer team. They have no other competing interests to declare that are relevant to the content of this article.</w:t>
      </w:r>
    </w:p>
    <w:bookmarkEnd w:id="96"/>
    <w:bookmarkStart w:id="97" w:name="author-contributions"/>
    <w:p>
      <w:pPr>
        <w:pStyle w:val="berschrift2"/>
      </w:pPr>
      <w:r>
        <w:t xml:space="preserve">Author contributions</w:t>
      </w:r>
    </w:p>
    <w:p>
      <w:pPr>
        <w:pStyle w:val="FirstParagraph"/>
      </w:pPr>
      <w:r>
        <w:t xml:space="preserve">Berber S. van der Meulen-van der Veen: Conceptualization, Data curation, Formal analysis, Investigation, Methodology, Software, Writing – original draft, Writing – review &amp; editing</w:t>
      </w:r>
      <w:r>
        <w:br/>
      </w:r>
      <w:r>
        <w:t xml:space="preserve">Thomas Rose: Conceptualization, Data curation, Funding acquisition, Methodology, Software, Validation, Visualization, Writing – original draft, Writing – review &amp; editing</w:t>
      </w:r>
    </w:p>
    <w:bookmarkEnd w:id="97"/>
    <w:bookmarkEnd w:id="98"/>
    <w:bookmarkStart w:id="272" w:name="references"/>
    <w:p>
      <w:pPr>
        <w:pStyle w:val="berschrift1"/>
      </w:pPr>
      <w:r>
        <w:t xml:space="preserve">References</w:t>
      </w:r>
    </w:p>
    <w:bookmarkStart w:id="271" w:name="refs"/>
    <w:bookmarkStart w:id="100" w:name="ref-abdill_how-guide_2024"/>
    <w:p>
      <w:pPr>
        <w:pStyle w:val="Literaturverzeichnis"/>
      </w:pPr>
      <w:r>
        <w:t xml:space="preserve">Abdill RJ, Talarico E, Grieneisen L (2024) A how-to guide for code sharing in biology. PLOS Biology 22:e3002815.</w:t>
      </w:r>
      <w:r>
        <w:t xml:space="preserve"> </w:t>
      </w:r>
      <w:hyperlink r:id="rId99">
        <w:r>
          <w:rPr>
            <w:rStyle w:val="Hyperlink"/>
          </w:rPr>
          <w:t xml:space="preserve">https://doi.org/10.1371/journal.pbio.3002815</w:t>
        </w:r>
      </w:hyperlink>
    </w:p>
    <w:bookmarkEnd w:id="100"/>
    <w:bookmarkStart w:id="102" w:name="ref-aguinis_what_2018"/>
    <w:p>
      <w:pPr>
        <w:pStyle w:val="Literaturverzeichnis"/>
      </w:pPr>
      <w:r>
        <w:t xml:space="preserve">Aguinis H, Ramani RS, Alabduljader N (2017) What</w:t>
      </w:r>
      <w:r>
        <w:t xml:space="preserve"> </w:t>
      </w:r>
      <w:r>
        <w:t xml:space="preserve">You</w:t>
      </w:r>
      <w:r>
        <w:t xml:space="preserve"> </w:t>
      </w:r>
      <w:r>
        <w:t xml:space="preserve">See</w:t>
      </w:r>
      <w:r>
        <w:t xml:space="preserve"> </w:t>
      </w:r>
      <w:r>
        <w:t xml:space="preserve">Is</w:t>
      </w:r>
      <w:r>
        <w:t xml:space="preserve"> </w:t>
      </w:r>
      <w:r>
        <w:t xml:space="preserve">What</w:t>
      </w:r>
      <w:r>
        <w:t xml:space="preserve"> </w:t>
      </w:r>
      <w:r>
        <w:t xml:space="preserve">You</w:t>
      </w:r>
      <w:r>
        <w:t xml:space="preserve"> </w:t>
      </w:r>
      <w:r>
        <w:t xml:space="preserve">Get</w:t>
      </w:r>
      <w:r>
        <w:t xml:space="preserve">?</w:t>
      </w:r>
      <w:r>
        <w:t xml:space="preserve"> </w:t>
      </w:r>
      <w:r>
        <w:t xml:space="preserve">Enhancing</w:t>
      </w:r>
      <w:r>
        <w:t xml:space="preserve"> </w:t>
      </w:r>
      <w:r>
        <w:t xml:space="preserve">Methodological</w:t>
      </w:r>
      <w:r>
        <w:t xml:space="preserve"> </w:t>
      </w:r>
      <w:r>
        <w:t xml:space="preserve">Transparency</w:t>
      </w:r>
      <w:r>
        <w:t xml:space="preserve"> </w:t>
      </w:r>
      <w:r>
        <w:t xml:space="preserve">in</w:t>
      </w:r>
      <w:r>
        <w:t xml:space="preserve"> </w:t>
      </w:r>
      <w:r>
        <w:t xml:space="preserve">Management</w:t>
      </w:r>
      <w:r>
        <w:t xml:space="preserve"> </w:t>
      </w:r>
      <w:r>
        <w:t xml:space="preserve">Research</w:t>
      </w:r>
      <w:r>
        <w:t xml:space="preserve">. Academy of Management Annals 12:83–110.</w:t>
      </w:r>
      <w:r>
        <w:t xml:space="preserve"> </w:t>
      </w:r>
      <w:hyperlink r:id="rId101">
        <w:r>
          <w:rPr>
            <w:rStyle w:val="Hyperlink"/>
          </w:rPr>
          <w:t xml:space="preserve">https://doi.org/10.5465/annals.2016.0011</w:t>
        </w:r>
      </w:hyperlink>
    </w:p>
    <w:bookmarkEnd w:id="102"/>
    <w:bookmarkStart w:id="104" w:name="ref-Allaire_Quarto_2026"/>
    <w:p>
      <w:pPr>
        <w:pStyle w:val="Literaturverzeichnis"/>
      </w:pPr>
      <w:r>
        <w:t xml:space="preserve">Allaire JJ, Teague C, Scheidegger C, et al (2026)</w:t>
      </w:r>
      <w:r>
        <w:t xml:space="preserve"> </w:t>
      </w:r>
      <w:hyperlink r:id="rId103">
        <w:r>
          <w:rPr>
            <w:rStyle w:val="Hyperlink"/>
          </w:rPr>
          <w:t xml:space="preserve">Quarto</w:t>
        </w:r>
      </w:hyperlink>
    </w:p>
    <w:bookmarkEnd w:id="104"/>
    <w:bookmarkStart w:id="106" w:name="ref-anevlavi_excavation_2025"/>
    <w:p>
      <w:pPr>
        <w:pStyle w:val="Literaturverzeichnis"/>
      </w:pPr>
      <w:r>
        <w:t xml:space="preserve">Anevlavi V, Anevlavis E, Fragnoli P, et al (2025) From excavation to laboratory: Advanced strategies for archiving archaeometric marble provenance research at the</w:t>
      </w:r>
      <w:r>
        <w:t xml:space="preserve"> </w:t>
      </w:r>
      <w:r>
        <w:t xml:space="preserve">Austrian</w:t>
      </w:r>
      <w:r>
        <w:t xml:space="preserve"> </w:t>
      </w:r>
      <w:r>
        <w:t xml:space="preserve">archaeological institute (</w:t>
      </w:r>
      <w:r>
        <w:t xml:space="preserve">OeAW</w:t>
      </w:r>
      <w:r>
        <w:t xml:space="preserve">). The European Physical Journal Plus 140:644.</w:t>
      </w:r>
      <w:r>
        <w:t xml:space="preserve"> </w:t>
      </w:r>
      <w:hyperlink r:id="rId105">
        <w:r>
          <w:rPr>
            <w:rStyle w:val="Hyperlink"/>
          </w:rPr>
          <w:t xml:space="preserve">https://doi.org/10.1140/epjp/s13360-025-06473-z</w:t>
        </w:r>
      </w:hyperlink>
    </w:p>
    <w:bookmarkEnd w:id="106"/>
    <w:bookmarkStart w:id="108" w:name="ref-austin_improving_2024"/>
    <w:p>
      <w:pPr>
        <w:pStyle w:val="Literaturverzeichnis"/>
      </w:pPr>
      <w:r>
        <w:t xml:space="preserve">Austin A, Faniel IM, Brannon B, Kansa SW (2024) Improving the</w:t>
      </w:r>
      <w:r>
        <w:t xml:space="preserve"> </w:t>
      </w:r>
      <w:r>
        <w:t xml:space="preserve">Usability</w:t>
      </w:r>
      <w:r>
        <w:t xml:space="preserve"> </w:t>
      </w:r>
      <w:r>
        <w:t xml:space="preserve">of</w:t>
      </w:r>
      <w:r>
        <w:t xml:space="preserve"> </w:t>
      </w:r>
      <w:r>
        <w:t xml:space="preserve">Archaeological</w:t>
      </w:r>
      <w:r>
        <w:t xml:space="preserve"> </w:t>
      </w:r>
      <w:r>
        <w:t xml:space="preserve">Data</w:t>
      </w:r>
      <w:r>
        <w:t xml:space="preserve"> </w:t>
      </w:r>
      <w:r>
        <w:t xml:space="preserve">through</w:t>
      </w:r>
      <w:r>
        <w:t xml:space="preserve"> </w:t>
      </w:r>
      <w:r>
        <w:t xml:space="preserve">Written</w:t>
      </w:r>
      <w:r>
        <w:t xml:space="preserve"> </w:t>
      </w:r>
      <w:r>
        <w:t xml:space="preserve">Guidelines</w:t>
      </w:r>
      <w:r>
        <w:t xml:space="preserve">. Advances in Archaeological Practice 12:63–74.</w:t>
      </w:r>
      <w:r>
        <w:t xml:space="preserve"> </w:t>
      </w:r>
      <w:hyperlink r:id="rId107">
        <w:r>
          <w:rPr>
            <w:rStyle w:val="Hyperlink"/>
          </w:rPr>
          <w:t xml:space="preserve">https://doi.org/10.1017/aap.2023.38</w:t>
        </w:r>
      </w:hyperlink>
    </w:p>
    <w:bookmarkEnd w:id="108"/>
    <w:bookmarkStart w:id="109" w:name="ref-baker_is_2016"/>
    <w:p>
      <w:pPr>
        <w:pStyle w:val="Literaturverzeichnis"/>
      </w:pPr>
      <w:r>
        <w:t xml:space="preserve">Baker M (2016) Is there a reproducibility crisis? Nature 533:452–454</w:t>
      </w:r>
    </w:p>
    <w:bookmarkEnd w:id="109"/>
    <w:bookmarkStart w:id="111" w:name="ref-barba_terminologies_2018"/>
    <w:p>
      <w:pPr>
        <w:pStyle w:val="Literaturverzeichnis"/>
      </w:pPr>
      <w:r>
        <w:t xml:space="preserve">Barba LA (2018)</w:t>
      </w:r>
      <w:r>
        <w:t xml:space="preserve"> </w:t>
      </w:r>
      <w:hyperlink r:id="rId110">
        <w:r>
          <w:rPr>
            <w:rStyle w:val="Hyperlink"/>
          </w:rPr>
          <w:t xml:space="preserve">Terminologies for</w:t>
        </w:r>
        <w:r>
          <w:rPr>
            <w:rStyle w:val="Hyperlink"/>
          </w:rPr>
          <w:t xml:space="preserve"> </w:t>
        </w:r>
        <w:r>
          <w:rPr>
            <w:rStyle w:val="Hyperlink"/>
          </w:rPr>
          <w:t xml:space="preserve">Reproducible</w:t>
        </w:r>
        <w:r>
          <w:rPr>
            <w:rStyle w:val="Hyperlink"/>
          </w:rPr>
          <w:t xml:space="preserve"> </w:t>
        </w:r>
        <w:r>
          <w:rPr>
            <w:rStyle w:val="Hyperlink"/>
          </w:rPr>
          <w:t xml:space="preserve">Research</w:t>
        </w:r>
      </w:hyperlink>
    </w:p>
    <w:bookmarkEnd w:id="111"/>
    <w:bookmarkStart w:id="113" w:name="ref-barker_introducing_2022"/>
    <w:p>
      <w:pPr>
        <w:pStyle w:val="Literaturverzeichnis"/>
      </w:pPr>
      <w:r>
        <w:t xml:space="preserve">Barker M, Chue Hong NP, Katz DS, et al (2022) Introducing the</w:t>
      </w:r>
      <w:r>
        <w:t xml:space="preserve"> </w:t>
      </w:r>
      <w:r>
        <w:t xml:space="preserve">FAIR</w:t>
      </w:r>
      <w:r>
        <w:t xml:space="preserve"> </w:t>
      </w:r>
      <w:r>
        <w:t xml:space="preserve">Principles</w:t>
      </w:r>
      <w:r>
        <w:t xml:space="preserve"> </w:t>
      </w:r>
      <w:r>
        <w:t xml:space="preserve">for research software. Scientific Data 9:622.</w:t>
      </w:r>
      <w:r>
        <w:t xml:space="preserve"> </w:t>
      </w:r>
      <w:hyperlink r:id="rId112">
        <w:r>
          <w:rPr>
            <w:rStyle w:val="Hyperlink"/>
          </w:rPr>
          <w:t xml:space="preserve">https://doi.org/10.1038/s41597-022-01710-x</w:t>
        </w:r>
      </w:hyperlink>
    </w:p>
    <w:bookmarkEnd w:id="113"/>
    <w:bookmarkStart w:id="114" w:name="ref-baxter_exploratory_1994"/>
    <w:p>
      <w:pPr>
        <w:pStyle w:val="Literaturverzeichnis"/>
      </w:pPr>
      <w:r>
        <w:t xml:space="preserve">Baxter MJ (1994) Exploratory</w:t>
      </w:r>
      <w:r>
        <w:t xml:space="preserve"> </w:t>
      </w:r>
      <w:r>
        <w:t xml:space="preserve">Multivariate</w:t>
      </w:r>
      <w:r>
        <w:t xml:space="preserve"> </w:t>
      </w:r>
      <w:r>
        <w:t xml:space="preserve">Analysis</w:t>
      </w:r>
      <w:r>
        <w:t xml:space="preserve"> </w:t>
      </w:r>
      <w:r>
        <w:t xml:space="preserve">in</w:t>
      </w:r>
      <w:r>
        <w:t xml:space="preserve"> </w:t>
      </w:r>
      <w:r>
        <w:t xml:space="preserve">Archaeology</w:t>
      </w:r>
      <w:r>
        <w:t xml:space="preserve">. Edinburgh University Press, Edinburgh</w:t>
      </w:r>
    </w:p>
    <w:bookmarkEnd w:id="114"/>
    <w:bookmarkStart w:id="116" w:name="ref-baxter_testing_1998"/>
    <w:p>
      <w:pPr>
        <w:pStyle w:val="Literaturverzeichnis"/>
      </w:pPr>
      <w:r>
        <w:t xml:space="preserve">Baxter MJ, Gale NH (1998) Testing for multivariate normality via univariate tests:</w:t>
      </w:r>
      <w:r>
        <w:t xml:space="preserve"> </w:t>
      </w:r>
      <w:r>
        <w:t xml:space="preserve">A</w:t>
      </w:r>
      <w:r>
        <w:t xml:space="preserve"> </w:t>
      </w:r>
      <w:r>
        <w:t xml:space="preserve">case study using lead isotope ratio data. Journal of Applied Statistics 25:671–683.</w:t>
      </w:r>
      <w:r>
        <w:t xml:space="preserve"> </w:t>
      </w:r>
      <w:hyperlink r:id="rId115">
        <w:r>
          <w:rPr>
            <w:rStyle w:val="Hyperlink"/>
          </w:rPr>
          <w:t xml:space="preserve">https://doi.org/10.1080/02664769822891</w:t>
        </w:r>
      </w:hyperlink>
    </w:p>
    <w:bookmarkEnd w:id="116"/>
    <w:bookmarkStart w:id="118" w:name="ref-bayliss_confessions_2019"/>
    <w:p>
      <w:pPr>
        <w:pStyle w:val="Literaturverzeichnis"/>
      </w:pPr>
      <w:r>
        <w:t xml:space="preserve">Bayliss A, Marshall P (2019) Confessions of a</w:t>
      </w:r>
      <w:r>
        <w:t xml:space="preserve"> </w:t>
      </w:r>
      <w:r>
        <w:t xml:space="preserve">Serial</w:t>
      </w:r>
      <w:r>
        <w:t xml:space="preserve"> </w:t>
      </w:r>
      <w:r>
        <w:t xml:space="preserve">Polygamist</w:t>
      </w:r>
      <w:r>
        <w:t xml:space="preserve">:</w:t>
      </w:r>
      <w:r>
        <w:t xml:space="preserve"> </w:t>
      </w:r>
      <w:r>
        <w:t xml:space="preserve">The</w:t>
      </w:r>
      <w:r>
        <w:t xml:space="preserve"> </w:t>
      </w:r>
      <w:r>
        <w:t xml:space="preserve">Reality</w:t>
      </w:r>
      <w:r>
        <w:t xml:space="preserve"> </w:t>
      </w:r>
      <w:r>
        <w:t xml:space="preserve">of</w:t>
      </w:r>
      <w:r>
        <w:t xml:space="preserve"> </w:t>
      </w:r>
      <w:r>
        <w:t xml:space="preserve">Radiocarbon</w:t>
      </w:r>
      <w:r>
        <w:t xml:space="preserve"> </w:t>
      </w:r>
      <w:r>
        <w:t xml:space="preserve">Reproducibility</w:t>
      </w:r>
      <w:r>
        <w:t xml:space="preserve"> </w:t>
      </w:r>
      <w:r>
        <w:t xml:space="preserve">in</w:t>
      </w:r>
      <w:r>
        <w:t xml:space="preserve"> </w:t>
      </w:r>
      <w:r>
        <w:t xml:space="preserve">Archaeological</w:t>
      </w:r>
      <w:r>
        <w:t xml:space="preserve"> </w:t>
      </w:r>
      <w:r>
        <w:t xml:space="preserve">Samples</w:t>
      </w:r>
      <w:r>
        <w:t xml:space="preserve">. Radiocarbon 61:1143–1158.</w:t>
      </w:r>
      <w:r>
        <w:t xml:space="preserve"> </w:t>
      </w:r>
      <w:hyperlink r:id="rId117">
        <w:r>
          <w:rPr>
            <w:rStyle w:val="Hyperlink"/>
          </w:rPr>
          <w:t xml:space="preserve">https://doi.org/10.1017/RDC.2019.55</w:t>
        </w:r>
      </w:hyperlink>
    </w:p>
    <w:bookmarkEnd w:id="118"/>
    <w:bookmarkStart w:id="120" w:name="ref-begley_reproducibility_2015"/>
    <w:p>
      <w:pPr>
        <w:pStyle w:val="Literaturverzeichnis"/>
      </w:pPr>
      <w:r>
        <w:t xml:space="preserve">Begley CG, Ioannidis JPA (2015) Reproducibility in</w:t>
      </w:r>
      <w:r>
        <w:t xml:space="preserve"> </w:t>
      </w:r>
      <w:r>
        <w:t xml:space="preserve">Science</w:t>
      </w:r>
      <w:r>
        <w:t xml:space="preserve">:</w:t>
      </w:r>
      <w:r>
        <w:t xml:space="preserve"> </w:t>
      </w:r>
      <w:r>
        <w:t xml:space="preserve">Improving</w:t>
      </w:r>
      <w:r>
        <w:t xml:space="preserve"> </w:t>
      </w:r>
      <w:r>
        <w:t xml:space="preserve">the</w:t>
      </w:r>
      <w:r>
        <w:t xml:space="preserve"> </w:t>
      </w:r>
      <w:r>
        <w:t xml:space="preserve">Standard</w:t>
      </w:r>
      <w:r>
        <w:t xml:space="preserve"> </w:t>
      </w:r>
      <w:r>
        <w:t xml:space="preserve">for</w:t>
      </w:r>
      <w:r>
        <w:t xml:space="preserve"> </w:t>
      </w:r>
      <w:r>
        <w:t xml:space="preserve">Basic</w:t>
      </w:r>
      <w:r>
        <w:t xml:space="preserve"> </w:t>
      </w:r>
      <w:r>
        <w:t xml:space="preserve">and</w:t>
      </w:r>
      <w:r>
        <w:t xml:space="preserve"> </w:t>
      </w:r>
      <w:r>
        <w:t xml:space="preserve">Preclinical</w:t>
      </w:r>
      <w:r>
        <w:t xml:space="preserve"> </w:t>
      </w:r>
      <w:r>
        <w:t xml:space="preserve">Research</w:t>
      </w:r>
      <w:r>
        <w:t xml:space="preserve">. Circulation Research 116:116–126.</w:t>
      </w:r>
      <w:r>
        <w:t xml:space="preserve"> </w:t>
      </w:r>
      <w:hyperlink r:id="rId119">
        <w:r>
          <w:rPr>
            <w:rStyle w:val="Hyperlink"/>
          </w:rPr>
          <w:t xml:space="preserve">https://doi.org/10.1161/CIRCRESAHA.114.303819</w:t>
        </w:r>
      </w:hyperlink>
    </w:p>
    <w:bookmarkEnd w:id="120"/>
    <w:bookmarkStart w:id="122" w:name="ref-bertin_creating_2021"/>
    <w:p>
      <w:pPr>
        <w:pStyle w:val="Literaturverzeichnis"/>
      </w:pPr>
      <w:r>
        <w:t xml:space="preserve">Bertin AM, Baumer BS (2021) Creating optimal conditions for reproducible data analysis in</w:t>
      </w:r>
      <w:r>
        <w:t xml:space="preserve"> </w:t>
      </w:r>
      <w:r>
        <w:t xml:space="preserve">R</w:t>
      </w:r>
      <w:r>
        <w:t xml:space="preserve"> </w:t>
      </w:r>
      <w:r>
        <w:t xml:space="preserve">with</w:t>
      </w:r>
      <w:r>
        <w:t xml:space="preserve"> </w:t>
      </w:r>
      <w:r>
        <w:t xml:space="preserve">“fertile.”</w:t>
      </w:r>
      <w:r>
        <w:t xml:space="preserve"> </w:t>
      </w:r>
      <w:r>
        <w:t xml:space="preserve">Stat 10:e332.</w:t>
      </w:r>
      <w:r>
        <w:t xml:space="preserve"> </w:t>
      </w:r>
      <w:hyperlink r:id="rId121">
        <w:r>
          <w:rPr>
            <w:rStyle w:val="Hyperlink"/>
          </w:rPr>
          <w:t xml:space="preserve">https://doi.org/10.1002/sta4.332</w:t>
        </w:r>
      </w:hyperlink>
    </w:p>
    <w:bookmarkEnd w:id="122"/>
    <w:bookmarkStart w:id="124" w:name="ref-bilotti_point_2024"/>
    <w:p>
      <w:pPr>
        <w:pStyle w:val="Literaturverzeichnis"/>
      </w:pPr>
      <w:r>
        <w:t xml:space="preserve">Bilotti G, Kempf M, Oksanen E, et al (2024) Point</w:t>
      </w:r>
      <w:r>
        <w:t xml:space="preserve"> </w:t>
      </w:r>
      <w:r>
        <w:t xml:space="preserve">Pattern</w:t>
      </w:r>
      <w:r>
        <w:t xml:space="preserve"> </w:t>
      </w:r>
      <w:r>
        <w:t xml:space="preserve">Analysis</w:t>
      </w:r>
      <w:r>
        <w:t xml:space="preserve"> </w:t>
      </w:r>
      <w:r>
        <w:t xml:space="preserve">(</w:t>
      </w:r>
      <w:r>
        <w:t xml:space="preserve">PPA</w:t>
      </w:r>
      <w:r>
        <w:t xml:space="preserve">) as a tool for reproducible archaeological site distribution analyses and location processes in early iron age south-west</w:t>
      </w:r>
      <w:r>
        <w:t xml:space="preserve"> </w:t>
      </w:r>
      <w:r>
        <w:t xml:space="preserve">Germany</w:t>
      </w:r>
      <w:r>
        <w:t xml:space="preserve">. PLOS ONE 19:e0297931.</w:t>
      </w:r>
      <w:r>
        <w:t xml:space="preserve"> </w:t>
      </w:r>
      <w:hyperlink r:id="rId123">
        <w:r>
          <w:rPr>
            <w:rStyle w:val="Hyperlink"/>
          </w:rPr>
          <w:t xml:space="preserve">https://doi.org/10.1371/journal.pone.0297931</w:t>
        </w:r>
      </w:hyperlink>
    </w:p>
    <w:bookmarkEnd w:id="124"/>
    <w:bookmarkStart w:id="126" w:name="ref-blischak_workflowr_2018"/>
    <w:p>
      <w:pPr>
        <w:pStyle w:val="Literaturverzeichnis"/>
      </w:pPr>
      <w:r>
        <w:t xml:space="preserve">Blischak J, Carbonetto P, Stephens M (2018)</w:t>
      </w:r>
      <w:r>
        <w:t xml:space="preserve"> </w:t>
      </w:r>
      <w:hyperlink r:id="rId125">
        <w:r>
          <w:rPr>
            <w:rStyle w:val="Hyperlink"/>
          </w:rPr>
          <w:t xml:space="preserve">Workflowr:</w:t>
        </w:r>
        <w:r>
          <w:rPr>
            <w:rStyle w:val="Hyperlink"/>
          </w:rPr>
          <w:t xml:space="preserve"> </w:t>
        </w:r>
        <w:r>
          <w:rPr>
            <w:rStyle w:val="Hyperlink"/>
          </w:rPr>
          <w:t xml:space="preserve">A</w:t>
        </w:r>
        <w:r>
          <w:rPr>
            <w:rStyle w:val="Hyperlink"/>
          </w:rPr>
          <w:t xml:space="preserve"> </w:t>
        </w:r>
        <w:r>
          <w:rPr>
            <w:rStyle w:val="Hyperlink"/>
          </w:rPr>
          <w:t xml:space="preserve">Framework</w:t>
        </w:r>
        <w:r>
          <w:rPr>
            <w:rStyle w:val="Hyperlink"/>
          </w:rPr>
          <w:t xml:space="preserve"> </w:t>
        </w:r>
        <w:r>
          <w:rPr>
            <w:rStyle w:val="Hyperlink"/>
          </w:rPr>
          <w:t xml:space="preserve">for</w:t>
        </w:r>
        <w:r>
          <w:rPr>
            <w:rStyle w:val="Hyperlink"/>
          </w:rPr>
          <w:t xml:space="preserve"> </w:t>
        </w:r>
        <w:r>
          <w:rPr>
            <w:rStyle w:val="Hyperlink"/>
          </w:rPr>
          <w:t xml:space="preserve">Reproducible</w:t>
        </w:r>
        <w:r>
          <w:rPr>
            <w:rStyle w:val="Hyperlink"/>
          </w:rPr>
          <w:t xml:space="preserve"> </w:t>
        </w:r>
        <w:r>
          <w:rPr>
            <w:rStyle w:val="Hyperlink"/>
          </w:rPr>
          <w:t xml:space="preserve">and</w:t>
        </w:r>
        <w:r>
          <w:rPr>
            <w:rStyle w:val="Hyperlink"/>
          </w:rPr>
          <w:t xml:space="preserve"> </w:t>
        </w:r>
        <w:r>
          <w:rPr>
            <w:rStyle w:val="Hyperlink"/>
          </w:rPr>
          <w:t xml:space="preserve">Collaborative</w:t>
        </w:r>
        <w:r>
          <w:rPr>
            <w:rStyle w:val="Hyperlink"/>
          </w:rPr>
          <w:t xml:space="preserve"> </w:t>
        </w:r>
        <w:r>
          <w:rPr>
            <w:rStyle w:val="Hyperlink"/>
          </w:rPr>
          <w:t xml:space="preserve">Data</w:t>
        </w:r>
        <w:r>
          <w:rPr>
            <w:rStyle w:val="Hyperlink"/>
          </w:rPr>
          <w:t xml:space="preserve"> </w:t>
        </w:r>
        <w:r>
          <w:rPr>
            <w:rStyle w:val="Hyperlink"/>
          </w:rPr>
          <w:t xml:space="preserve">Science</w:t>
        </w:r>
      </w:hyperlink>
    </w:p>
    <w:bookmarkEnd w:id="126"/>
    <w:bookmarkStart w:id="128" w:name="ref-brito_recommendations_2020"/>
    <w:p>
      <w:pPr>
        <w:pStyle w:val="Literaturverzeichnis"/>
      </w:pPr>
      <w:r>
        <w:t xml:space="preserve">Brito JJ, Li J, Moore JH, et al (2020) Recommendations to enhance rigor and reproducibility in biomedical research. GigaScience 9:giaa056.</w:t>
      </w:r>
      <w:r>
        <w:t xml:space="preserve"> </w:t>
      </w:r>
      <w:hyperlink r:id="rId127">
        <w:r>
          <w:rPr>
            <w:rStyle w:val="Hyperlink"/>
          </w:rPr>
          <w:t xml:space="preserve">https://doi.org/10.1093/gigascience/giaa056</w:t>
        </w:r>
      </w:hyperlink>
    </w:p>
    <w:bookmarkEnd w:id="128"/>
    <w:bookmarkStart w:id="130" w:name="ref-calvo-rathert_reproducibility_2019"/>
    <w:p>
      <w:pPr>
        <w:pStyle w:val="Literaturverzeichnis"/>
      </w:pPr>
      <w:r>
        <w:t xml:space="preserve">Calvo-Rathert M, Morales Contreras J, Carrancho Á, et al (2019) Reproducibility of archaeointensity determinations with a multimethod approach on archaeological material reproductions. Geophysical Journal International 218:1719–1738.</w:t>
      </w:r>
      <w:r>
        <w:t xml:space="preserve"> </w:t>
      </w:r>
      <w:hyperlink r:id="rId129">
        <w:r>
          <w:rPr>
            <w:rStyle w:val="Hyperlink"/>
          </w:rPr>
          <w:t xml:space="preserve">https://doi.org/10.1093/gji/ggz246</w:t>
        </w:r>
      </w:hyperlink>
    </w:p>
    <w:bookmarkEnd w:id="130"/>
    <w:bookmarkStart w:id="132" w:name="ref-camerer_evaluating_2016"/>
    <w:p>
      <w:pPr>
        <w:pStyle w:val="Literaturverzeichnis"/>
      </w:pPr>
      <w:r>
        <w:t xml:space="preserve">Camerer CF, Dreber A, Forsell E, et al (2016) Evaluating replicability of laboratory experiments in economics. Science 351:1433–1436.</w:t>
      </w:r>
      <w:r>
        <w:t xml:space="preserve"> </w:t>
      </w:r>
      <w:hyperlink r:id="rId131">
        <w:r>
          <w:rPr>
            <w:rStyle w:val="Hyperlink"/>
          </w:rPr>
          <w:t xml:space="preserve">https://doi.org/10.1126/science.aaf0918</w:t>
        </w:r>
      </w:hyperlink>
    </w:p>
    <w:bookmarkEnd w:id="132"/>
    <w:bookmarkStart w:id="134" w:name="ref-case_guide_2024"/>
    <w:p>
      <w:pPr>
        <w:pStyle w:val="Literaturverzeichnis"/>
      </w:pPr>
      <w:r>
        <w:t xml:space="preserve">Case GND, Bastrakov EN, Graham GE, et al (2024) Guide and data requirements for submission of mineral deposit geochemical data in the</w:t>
      </w:r>
      <w:r>
        <w:t xml:space="preserve"> </w:t>
      </w:r>
      <w:r>
        <w:t xml:space="preserve">Critical</w:t>
      </w:r>
      <w:r>
        <w:t xml:space="preserve"> </w:t>
      </w:r>
      <w:r>
        <w:t xml:space="preserve">Minerals</w:t>
      </w:r>
      <w:r>
        <w:t xml:space="preserve"> </w:t>
      </w:r>
      <w:r>
        <w:t xml:space="preserve">in</w:t>
      </w:r>
      <w:r>
        <w:t xml:space="preserve"> </w:t>
      </w:r>
      <w:r>
        <w:t xml:space="preserve">Ores</w:t>
      </w:r>
      <w:r>
        <w:t xml:space="preserve"> </w:t>
      </w:r>
      <w:r>
        <w:t xml:space="preserve">(</w:t>
      </w:r>
      <w:r>
        <w:t xml:space="preserve">CMiO</w:t>
      </w:r>
      <w:r>
        <w:t xml:space="preserve">) database.</w:t>
      </w:r>
      <w:r>
        <w:t xml:space="preserve"> </w:t>
      </w:r>
      <w:hyperlink r:id="rId133">
        <w:r>
          <w:rPr>
            <w:rStyle w:val="Hyperlink"/>
          </w:rPr>
          <w:t xml:space="preserve">https://doi.org/10.26186/149408</w:t>
        </w:r>
      </w:hyperlink>
    </w:p>
    <w:bookmarkEnd w:id="134"/>
    <w:bookmarkStart w:id="136" w:name="ref-chamberlain_time_2021"/>
    <w:p>
      <w:pPr>
        <w:pStyle w:val="Literaturverzeichnis"/>
      </w:pPr>
      <w:r>
        <w:t xml:space="preserve">Chamberlain KJ, Lehnert KA, McIntosh IM, et al (2021) Time to change the data culture in geochemistry. Nature Reviews Earth &amp; Environment 2:737–739.</w:t>
      </w:r>
      <w:r>
        <w:t xml:space="preserve"> </w:t>
      </w:r>
      <w:hyperlink r:id="rId135">
        <w:r>
          <w:rPr>
            <w:rStyle w:val="Hyperlink"/>
          </w:rPr>
          <w:t xml:space="preserve">https://doi.org/10.1038/s43017-021-00237-w</w:t>
        </w:r>
      </w:hyperlink>
    </w:p>
    <w:bookmarkEnd w:id="136"/>
    <w:bookmarkStart w:id="138" w:name="ref-rcrossref"/>
    <w:p>
      <w:pPr>
        <w:pStyle w:val="Literaturverzeichnis"/>
      </w:pPr>
      <w:r>
        <w:t xml:space="preserve">Chamberlain S, Zhu H, Jahn N, et al (2025)</w:t>
      </w:r>
      <w:r>
        <w:t xml:space="preserve"> </w:t>
      </w:r>
      <w:hyperlink r:id="rId137">
        <w:r>
          <w:rPr>
            <w:rStyle w:val="Hyperlink"/>
          </w:rPr>
          <w:t xml:space="preserve">Rcrossref: Client for various ’CrossRef’ ’APIs’</w:t>
        </w:r>
      </w:hyperlink>
    </w:p>
    <w:bookmarkEnd w:id="138"/>
    <w:bookmarkStart w:id="140" w:name="ref-crema_statistical_2025"/>
    <w:p>
      <w:pPr>
        <w:pStyle w:val="Literaturverzeichnis"/>
      </w:pPr>
      <w:r>
        <w:t xml:space="preserve">Crema ER (2025) Statistical modelling in archaeology: Some recent trends and future perspectives. Journal of Archaeological Science 180:106295.</w:t>
      </w:r>
      <w:r>
        <w:t xml:space="preserve"> </w:t>
      </w:r>
      <w:hyperlink r:id="rId139">
        <w:r>
          <w:rPr>
            <w:rStyle w:val="Hyperlink"/>
          </w:rPr>
          <w:t xml:space="preserve">https://doi.org/10.1016/j.jas.2025.106295</w:t>
        </w:r>
      </w:hyperlink>
    </w:p>
    <w:bookmarkEnd w:id="140"/>
    <w:bookmarkStart w:id="142" w:name="ref-curty_factors_2016"/>
    <w:p>
      <w:pPr>
        <w:pStyle w:val="Literaturverzeichnis"/>
      </w:pPr>
      <w:r>
        <w:t xml:space="preserve">Curty RG (2016) Factors</w:t>
      </w:r>
      <w:r>
        <w:t xml:space="preserve"> </w:t>
      </w:r>
      <w:r>
        <w:t xml:space="preserve">Influencing</w:t>
      </w:r>
      <w:r>
        <w:t xml:space="preserve"> </w:t>
      </w:r>
      <w:r>
        <w:t xml:space="preserve">Research</w:t>
      </w:r>
      <w:r>
        <w:t xml:space="preserve"> </w:t>
      </w:r>
      <w:r>
        <w:t xml:space="preserve">Data</w:t>
      </w:r>
      <w:r>
        <w:t xml:space="preserve"> </w:t>
      </w:r>
      <w:r>
        <w:t xml:space="preserve">Reuse</w:t>
      </w:r>
      <w:r>
        <w:t xml:space="preserve"> </w:t>
      </w:r>
      <w:r>
        <w:t xml:space="preserve">in the</w:t>
      </w:r>
      <w:r>
        <w:t xml:space="preserve"> </w:t>
      </w:r>
      <w:r>
        <w:t xml:space="preserve">Social</w:t>
      </w:r>
      <w:r>
        <w:t xml:space="preserve"> </w:t>
      </w:r>
      <w:r>
        <w:t xml:space="preserve">Sciences</w:t>
      </w:r>
      <w:r>
        <w:t xml:space="preserve">:</w:t>
      </w:r>
      <w:r>
        <w:t xml:space="preserve"> </w:t>
      </w:r>
      <w:r>
        <w:t xml:space="preserve">An</w:t>
      </w:r>
      <w:r>
        <w:t xml:space="preserve"> </w:t>
      </w:r>
      <w:r>
        <w:t xml:space="preserve">Exploratory</w:t>
      </w:r>
      <w:r>
        <w:t xml:space="preserve"> </w:t>
      </w:r>
      <w:r>
        <w:t xml:space="preserve">Study</w:t>
      </w:r>
      <w:r>
        <w:t xml:space="preserve">. International Journal of Digital Curation 11:96–117.</w:t>
      </w:r>
      <w:r>
        <w:t xml:space="preserve"> </w:t>
      </w:r>
      <w:hyperlink r:id="rId141">
        <w:r>
          <w:rPr>
            <w:rStyle w:val="Hyperlink"/>
          </w:rPr>
          <w:t xml:space="preserve">https://doi.org/10.2218/ijdc.v11i1.401</w:t>
        </w:r>
      </w:hyperlink>
    </w:p>
    <w:bookmarkEnd w:id="142"/>
    <w:bookmarkStart w:id="144" w:name="ref-deines_standards_2003"/>
    <w:p>
      <w:pPr>
        <w:pStyle w:val="Literaturverzeichnis"/>
      </w:pPr>
      <w:r>
        <w:t xml:space="preserve">Deines P, Goldstein SL, Oelkers EH, et al (2003) Standards for publication of isotope ratio and chemical data in</w:t>
      </w:r>
      <w:r>
        <w:t xml:space="preserve"> </w:t>
      </w:r>
      <w:r>
        <w:t xml:space="preserve">Chemical</w:t>
      </w:r>
      <w:r>
        <w:t xml:space="preserve"> </w:t>
      </w:r>
      <w:r>
        <w:t xml:space="preserve">Geology</w:t>
      </w:r>
      <w:r>
        <w:t xml:space="preserve">. Chemical Geology 202:1–4.</w:t>
      </w:r>
      <w:r>
        <w:t xml:space="preserve"> </w:t>
      </w:r>
      <w:hyperlink r:id="rId143">
        <w:r>
          <w:rPr>
            <w:rStyle w:val="Hyperlink"/>
          </w:rPr>
          <w:t xml:space="preserve">https://doi.org/10.1016/j.chemgeo.2003.08.003</w:t>
        </w:r>
      </w:hyperlink>
    </w:p>
    <w:bookmarkEnd w:id="144"/>
    <w:bookmarkStart w:id="146" w:name="ref-densmore_virtual_2022"/>
    <w:p>
      <w:pPr>
        <w:pStyle w:val="Literaturverzeichnis"/>
      </w:pPr>
      <w:r>
        <w:t xml:space="preserve">Densmore AL (2022)</w:t>
      </w:r>
      <w:r>
        <w:t xml:space="preserve"> </w:t>
      </w:r>
      <w:hyperlink r:id="rId145">
        <w:r>
          <w:rPr>
            <w:rStyle w:val="Hyperlink"/>
          </w:rPr>
          <w:t xml:space="preserve">Virtual Excavations: Digital Repositories, Data Reuse, and Ethically Accessible Archaeology</w:t>
        </w:r>
      </w:hyperlink>
      <w:r>
        <w:t xml:space="preserve">. Master of {Science}, University of Wisconsin-Milwaukee</w:t>
      </w:r>
    </w:p>
    <w:bookmarkEnd w:id="146"/>
    <w:bookmarkStart w:id="148" w:name="ref-ekhtiari_reporting_2025"/>
    <w:p>
      <w:pPr>
        <w:pStyle w:val="Literaturverzeichnis"/>
      </w:pPr>
      <w:r>
        <w:t xml:space="preserve">Ekhtiari H, Zare-Bidoky M, Sangchooli A, et al (2025) Reporting checklists in neuroimaging: Promoting transparency, replicability, and reproducibility. Neuropsychopharmacology 50:67–84.</w:t>
      </w:r>
      <w:r>
        <w:t xml:space="preserve"> </w:t>
      </w:r>
      <w:hyperlink r:id="rId147">
        <w:r>
          <w:rPr>
            <w:rStyle w:val="Hyperlink"/>
          </w:rPr>
          <w:t xml:space="preserve">https://doi.org/10.1038/s41386-024-01973-5</w:t>
        </w:r>
      </w:hyperlink>
    </w:p>
    <w:bookmarkEnd w:id="148"/>
    <w:bookmarkStart w:id="150" w:name="ref-erb-satullo_iron_2025"/>
    <w:p>
      <w:pPr>
        <w:pStyle w:val="Literaturverzeichnis"/>
      </w:pPr>
      <w:r>
        <w:t xml:space="preserve">Erb-Satullo NL, Klymchuk BW (2025) Iron in copper metallurgy at the dawn of the</w:t>
      </w:r>
      <w:r>
        <w:t xml:space="preserve"> </w:t>
      </w:r>
      <w:r>
        <w:t xml:space="preserve">Iron</w:t>
      </w:r>
      <w:r>
        <w:t xml:space="preserve"> </w:t>
      </w:r>
      <w:r>
        <w:t xml:space="preserve">Age</w:t>
      </w:r>
      <w:r>
        <w:t xml:space="preserve">:</w:t>
      </w:r>
      <w:r>
        <w:t xml:space="preserve"> </w:t>
      </w:r>
      <w:r>
        <w:t xml:space="preserve">Insights</w:t>
      </w:r>
      <w:r>
        <w:t xml:space="preserve"> </w:t>
      </w:r>
      <w:r>
        <w:t xml:space="preserve">on iron invention from a mining and smelting site in the</w:t>
      </w:r>
      <w:r>
        <w:t xml:space="preserve"> </w:t>
      </w:r>
      <w:r>
        <w:t xml:space="preserve">Caucasus</w:t>
      </w:r>
      <w:r>
        <w:t xml:space="preserve">. Journal of Archaeological Science 183:106338.</w:t>
      </w:r>
      <w:r>
        <w:t xml:space="preserve"> </w:t>
      </w:r>
      <w:hyperlink r:id="rId149">
        <w:r>
          <w:rPr>
            <w:rStyle w:val="Hyperlink"/>
          </w:rPr>
          <w:t xml:space="preserve">https://doi.org/10.1016/j.jas.2025.106338</w:t>
        </w:r>
      </w:hyperlink>
    </w:p>
    <w:bookmarkEnd w:id="150"/>
    <w:bookmarkStart w:id="152" w:name="ref-faniel_challenges_2013"/>
    <w:p>
      <w:pPr>
        <w:pStyle w:val="Literaturverzeichnis"/>
      </w:pPr>
      <w:r>
        <w:t xml:space="preserve">Faniel I, Kansa E, Whitcher Kansa S, et al (2013)</w:t>
      </w:r>
      <w:r>
        <w:t xml:space="preserve"> </w:t>
      </w:r>
      <w:hyperlink r:id="rId151">
        <w:r>
          <w:rPr>
            <w:rStyle w:val="Hyperlink"/>
          </w:rPr>
          <w:t xml:space="preserve">The challenges of digging data: A study of context in archaeological data reuse</w:t>
        </w:r>
      </w:hyperlink>
      <w:r>
        <w:t xml:space="preserve">. In: Proceedings of the 13th</w:t>
      </w:r>
      <w:r>
        <w:t xml:space="preserve"> </w:t>
      </w:r>
      <w:r>
        <w:t xml:space="preserve">ACM</w:t>
      </w:r>
      <w:r>
        <w:t xml:space="preserve">/</w:t>
      </w:r>
      <w:r>
        <w:t xml:space="preserve">IEEE</w:t>
      </w:r>
      <w:r>
        <w:t xml:space="preserve">-</w:t>
      </w:r>
      <w:r>
        <w:t xml:space="preserve">CS</w:t>
      </w:r>
      <w:r>
        <w:t xml:space="preserve"> </w:t>
      </w:r>
      <w:r>
        <w:t xml:space="preserve">joint conference on</w:t>
      </w:r>
      <w:r>
        <w:t xml:space="preserve"> </w:t>
      </w:r>
      <w:r>
        <w:t xml:space="preserve">Digital</w:t>
      </w:r>
      <w:r>
        <w:t xml:space="preserve"> </w:t>
      </w:r>
      <w:r>
        <w:t xml:space="preserve">libraries. ACM, Indianapolis Indiana USA, pp 295–304</w:t>
      </w:r>
    </w:p>
    <w:bookmarkEnd w:id="152"/>
    <w:bookmarkStart w:id="154" w:name="ref-faniel_social_2016"/>
    <w:p>
      <w:pPr>
        <w:pStyle w:val="Literaturverzeichnis"/>
      </w:pPr>
      <w:r>
        <w:t xml:space="preserve">Faniel IM, Kriesberg A, Yakel E (2016) Social scientists’ satisfaction with data reuse. Journal of the Association for Information Science and Technology 67:1404–1416.</w:t>
      </w:r>
      <w:r>
        <w:t xml:space="preserve"> </w:t>
      </w:r>
      <w:hyperlink r:id="rId153">
        <w:r>
          <w:rPr>
            <w:rStyle w:val="Hyperlink"/>
          </w:rPr>
          <w:t xml:space="preserve">https://doi.org/10.1002/asi.23480</w:t>
        </w:r>
      </w:hyperlink>
    </w:p>
    <w:bookmarkEnd w:id="154"/>
    <w:bookmarkStart w:id="156" w:name="ref-fisar_reproducibility_2024"/>
    <w:p>
      <w:pPr>
        <w:pStyle w:val="Literaturverzeichnis"/>
      </w:pPr>
      <w:r>
        <w:t xml:space="preserve">Fišar M, Greiner B, Huber C, et al</w:t>
      </w:r>
      <w:r>
        <w:t xml:space="preserve"> </w:t>
      </w:r>
      <w:r>
        <w:t xml:space="preserve">(2024) Reproducibility in</w:t>
      </w:r>
      <w:r>
        <w:t xml:space="preserve"> </w:t>
      </w:r>
      <w:r>
        <w:rPr>
          <w:i/>
          <w:iCs/>
        </w:rPr>
        <w:t xml:space="preserve">Management</w:t>
      </w:r>
      <w:r>
        <w:rPr>
          <w:i/>
          <w:iCs/>
        </w:rPr>
        <w:t xml:space="preserve"> </w:t>
      </w:r>
      <w:r>
        <w:rPr>
          <w:i/>
          <w:iCs/>
        </w:rPr>
        <w:t xml:space="preserve">Science</w:t>
      </w:r>
      <w:r>
        <w:t xml:space="preserve">. Management Science 70:1343–1356.</w:t>
      </w:r>
      <w:r>
        <w:t xml:space="preserve"> </w:t>
      </w:r>
      <w:hyperlink r:id="rId155">
        <w:r>
          <w:rPr>
            <w:rStyle w:val="Hyperlink"/>
          </w:rPr>
          <w:t xml:space="preserve">https://doi.org/10.1287/mnsc.2023.03556</w:t>
        </w:r>
      </w:hyperlink>
    </w:p>
    <w:bookmarkEnd w:id="156"/>
    <w:bookmarkStart w:id="158" w:name="ref-gilmore_progress_2017"/>
    <w:p>
      <w:pPr>
        <w:pStyle w:val="Literaturverzeichnis"/>
      </w:pPr>
      <w:r>
        <w:t xml:space="preserve">Gilmore RO, Diaz MT, Wyble BA, Yarkoni T (2017) Progress toward openness, transparency, and reproducibility in cognitive neuroscience. Annals of the New York Academy of Sciences 1396:5–18.</w:t>
      </w:r>
      <w:r>
        <w:t xml:space="preserve"> </w:t>
      </w:r>
      <w:hyperlink r:id="rId157">
        <w:r>
          <w:rPr>
            <w:rStyle w:val="Hyperlink"/>
          </w:rPr>
          <w:t xml:space="preserve">https://doi.org/10.1111/nyas.13325</w:t>
        </w:r>
      </w:hyperlink>
    </w:p>
    <w:bookmarkEnd w:id="158"/>
    <w:bookmarkStart w:id="160" w:name="ref-goldstein_requirements_2014"/>
    <w:p>
      <w:pPr>
        <w:pStyle w:val="Literaturverzeichnis"/>
      </w:pPr>
      <w:r>
        <w:t xml:space="preserve">Goldstein S, Lehnert K, Hofmann A (2014)</w:t>
      </w:r>
      <w:r>
        <w:t xml:space="preserve"> </w:t>
      </w:r>
      <w:hyperlink r:id="rId159">
        <w:r>
          <w:rPr>
            <w:rStyle w:val="Hyperlink"/>
          </w:rPr>
          <w:t xml:space="preserve">Requirements for the</w:t>
        </w:r>
        <w:r>
          <w:rPr>
            <w:rStyle w:val="Hyperlink"/>
          </w:rPr>
          <w:t xml:space="preserve"> </w:t>
        </w:r>
        <w:r>
          <w:rPr>
            <w:rStyle w:val="Hyperlink"/>
          </w:rPr>
          <w:t xml:space="preserve">Publication</w:t>
        </w:r>
        <w:r>
          <w:rPr>
            <w:rStyle w:val="Hyperlink"/>
          </w:rPr>
          <w:t xml:space="preserve"> </w:t>
        </w:r>
        <w:r>
          <w:rPr>
            <w:rStyle w:val="Hyperlink"/>
          </w:rPr>
          <w:t xml:space="preserve">of</w:t>
        </w:r>
        <w:r>
          <w:rPr>
            <w:rStyle w:val="Hyperlink"/>
          </w:rPr>
          <w:t xml:space="preserve"> </w:t>
        </w:r>
        <w:r>
          <w:rPr>
            <w:rStyle w:val="Hyperlink"/>
          </w:rPr>
          <w:t xml:space="preserve">Geochemical</w:t>
        </w:r>
        <w:r>
          <w:rPr>
            <w:rStyle w:val="Hyperlink"/>
          </w:rPr>
          <w:t xml:space="preserve"> </w:t>
        </w:r>
        <w:r>
          <w:rPr>
            <w:rStyle w:val="Hyperlink"/>
          </w:rPr>
          <w:t xml:space="preserve">Data</w:t>
        </w:r>
      </w:hyperlink>
    </w:p>
    <w:bookmarkEnd w:id="160"/>
    <w:bookmarkStart w:id="162" w:name="ref-hancock_how_2010"/>
    <w:p>
      <w:pPr>
        <w:pStyle w:val="Literaturverzeichnis"/>
      </w:pPr>
      <w:r>
        <w:t xml:space="preserve">Hancock RGV, Carter T (2010) How reliable are our published archaeometric analyses?</w:t>
      </w:r>
      <w:r>
        <w:t xml:space="preserve"> </w:t>
      </w:r>
      <w:r>
        <w:t xml:space="preserve">Effects</w:t>
      </w:r>
      <w:r>
        <w:t xml:space="preserve"> </w:t>
      </w:r>
      <w:r>
        <w:t xml:space="preserve">of analytical techniques through time on the elemental analysis of obsidians. Journal of Archaeological Science 37:243–250.</w:t>
      </w:r>
      <w:r>
        <w:t xml:space="preserve"> </w:t>
      </w:r>
      <w:hyperlink r:id="rId161">
        <w:r>
          <w:rPr>
            <w:rStyle w:val="Hyperlink"/>
          </w:rPr>
          <w:t xml:space="preserve">https://doi.org/10.1016/j.jas.2009.10.004</w:t>
        </w:r>
      </w:hyperlink>
    </w:p>
    <w:bookmarkEnd w:id="162"/>
    <w:bookmarkStart w:id="164" w:name="ref-harpring_development_2010"/>
    <w:p>
      <w:pPr>
        <w:pStyle w:val="Literaturverzeichnis"/>
      </w:pPr>
      <w:r>
        <w:t xml:space="preserve">Harpring P (2010) Development of the</w:t>
      </w:r>
      <w:r>
        <w:t xml:space="preserve"> </w:t>
      </w:r>
      <w:r>
        <w:t xml:space="preserve">Getty</w:t>
      </w:r>
      <w:r>
        <w:t xml:space="preserve"> </w:t>
      </w:r>
      <w:r>
        <w:t xml:space="preserve">Vocabularies</w:t>
      </w:r>
      <w:r>
        <w:t xml:space="preserve">:</w:t>
      </w:r>
      <w:r>
        <w:t xml:space="preserve"> </w:t>
      </w:r>
      <w:r>
        <w:t xml:space="preserve">AAT</w:t>
      </w:r>
      <w:r>
        <w:t xml:space="preserve">,</w:t>
      </w:r>
      <w:r>
        <w:t xml:space="preserve"> </w:t>
      </w:r>
      <w:r>
        <w:t xml:space="preserve">TGN</w:t>
      </w:r>
      <w:r>
        <w:t xml:space="preserve">,</w:t>
      </w:r>
      <w:r>
        <w:t xml:space="preserve"> </w:t>
      </w:r>
      <w:r>
        <w:t xml:space="preserve">ULAN</w:t>
      </w:r>
      <w:r>
        <w:t xml:space="preserve">, and</w:t>
      </w:r>
      <w:r>
        <w:t xml:space="preserve"> </w:t>
      </w:r>
      <w:r>
        <w:t xml:space="preserve">CONA</w:t>
      </w:r>
      <w:r>
        <w:t xml:space="preserve">. Art Documentation: Journal of the Art Libraries Society of North America 29:67–72.</w:t>
      </w:r>
      <w:r>
        <w:t xml:space="preserve"> </w:t>
      </w:r>
      <w:hyperlink r:id="rId163">
        <w:r>
          <w:rPr>
            <w:rStyle w:val="Hyperlink"/>
          </w:rPr>
          <w:t xml:space="preserve">https://doi.org/10.1086/adx.29.1.27949541</w:t>
        </w:r>
      </w:hyperlink>
    </w:p>
    <w:bookmarkEnd w:id="164"/>
    <w:bookmarkStart w:id="166" w:name="ref-heginbotham_charmed_2019"/>
    <w:p>
      <w:pPr>
        <w:pStyle w:val="Literaturverzeichnis"/>
      </w:pPr>
      <w:r>
        <w:t xml:space="preserve">Heginbotham A, Bourgarit D, Day J, et al (2019)</w:t>
      </w:r>
      <w:r>
        <w:t xml:space="preserve"> </w:t>
      </w:r>
      <w:r>
        <w:t xml:space="preserve">CHARMed</w:t>
      </w:r>
      <w:r>
        <w:t xml:space="preserve"> </w:t>
      </w:r>
      <w:r>
        <w:t xml:space="preserve">PyMca</w:t>
      </w:r>
      <w:r>
        <w:t xml:space="preserve">,</w:t>
      </w:r>
      <w:r>
        <w:t xml:space="preserve"> </w:t>
      </w:r>
      <w:r>
        <w:t xml:space="preserve">Part</w:t>
      </w:r>
      <w:r>
        <w:t xml:space="preserve"> </w:t>
      </w:r>
      <w:r>
        <w:t xml:space="preserve">II</w:t>
      </w:r>
      <w:r>
        <w:t xml:space="preserve">:</w:t>
      </w:r>
      <w:r>
        <w:t xml:space="preserve"> </w:t>
      </w:r>
      <w:r>
        <w:t xml:space="preserve">An</w:t>
      </w:r>
      <w:r>
        <w:t xml:space="preserve"> </w:t>
      </w:r>
      <w:r>
        <w:t xml:space="preserve">evaluation of interlaboratory reproducibility for</w:t>
      </w:r>
      <w:r>
        <w:t xml:space="preserve"> </w:t>
      </w:r>
      <w:r>
        <w:t xml:space="preserve">ED</w:t>
      </w:r>
      <w:r>
        <w:t xml:space="preserve">‐</w:t>
      </w:r>
      <w:r>
        <w:t xml:space="preserve">XRF</w:t>
      </w:r>
      <w:r>
        <w:t xml:space="preserve"> </w:t>
      </w:r>
      <w:r>
        <w:t xml:space="preserve">analysis of copper alloys. Archaeometry 61:1333–1352.</w:t>
      </w:r>
      <w:r>
        <w:t xml:space="preserve"> </w:t>
      </w:r>
      <w:hyperlink r:id="rId165">
        <w:r>
          <w:rPr>
            <w:rStyle w:val="Hyperlink"/>
          </w:rPr>
          <w:t xml:space="preserve">https://doi.org/10.1111/arcm.12488</w:t>
        </w:r>
      </w:hyperlink>
    </w:p>
    <w:bookmarkEnd w:id="166"/>
    <w:bookmarkStart w:id="168" w:name="ref-heginbotham_charmed_2017"/>
    <w:p>
      <w:pPr>
        <w:pStyle w:val="Literaturverzeichnis"/>
      </w:pPr>
      <w:r>
        <w:t xml:space="preserve">Heginbotham A, Solé VA (2017)</w:t>
      </w:r>
      <w:r>
        <w:t xml:space="preserve"> </w:t>
      </w:r>
      <w:r>
        <w:t xml:space="preserve">CHARMed</w:t>
      </w:r>
      <w:r>
        <w:t xml:space="preserve"> </w:t>
      </w:r>
      <w:r>
        <w:t xml:space="preserve">PyMca</w:t>
      </w:r>
      <w:r>
        <w:t xml:space="preserve">,</w:t>
      </w:r>
      <w:r>
        <w:t xml:space="preserve"> </w:t>
      </w:r>
      <w:r>
        <w:t xml:space="preserve">Part</w:t>
      </w:r>
      <w:r>
        <w:t xml:space="preserve"> </w:t>
      </w:r>
      <w:r>
        <w:t xml:space="preserve">I</w:t>
      </w:r>
      <w:r>
        <w:t xml:space="preserve">:</w:t>
      </w:r>
      <w:r>
        <w:t xml:space="preserve"> </w:t>
      </w:r>
      <w:r>
        <w:t xml:space="preserve">A</w:t>
      </w:r>
      <w:r>
        <w:t xml:space="preserve"> </w:t>
      </w:r>
      <w:r>
        <w:t xml:space="preserve">Protocol</w:t>
      </w:r>
      <w:r>
        <w:t xml:space="preserve"> </w:t>
      </w:r>
      <w:r>
        <w:t xml:space="preserve">for</w:t>
      </w:r>
      <w:r>
        <w:t xml:space="preserve"> </w:t>
      </w:r>
      <w:r>
        <w:t xml:space="preserve">Improved</w:t>
      </w:r>
      <w:r>
        <w:t xml:space="preserve"> </w:t>
      </w:r>
      <w:r>
        <w:t xml:space="preserve">Inter</w:t>
      </w:r>
      <w:r>
        <w:t xml:space="preserve">‐laboratory</w:t>
      </w:r>
      <w:r>
        <w:t xml:space="preserve"> </w:t>
      </w:r>
      <w:r>
        <w:t xml:space="preserve">Reproducibility</w:t>
      </w:r>
      <w:r>
        <w:t xml:space="preserve"> </w:t>
      </w:r>
      <w:r>
        <w:t xml:space="preserve">in the</w:t>
      </w:r>
      <w:r>
        <w:t xml:space="preserve"> </w:t>
      </w:r>
      <w:r>
        <w:t xml:space="preserve">Quantitative</w:t>
      </w:r>
      <w:r>
        <w:t xml:space="preserve"> </w:t>
      </w:r>
      <w:r>
        <w:t xml:space="preserve">ED</w:t>
      </w:r>
      <w:r>
        <w:t xml:space="preserve">‐</w:t>
      </w:r>
      <w:r>
        <w:t xml:space="preserve">XRF</w:t>
      </w:r>
      <w:r>
        <w:t xml:space="preserve"> </w:t>
      </w:r>
      <w:r>
        <w:t xml:space="preserve">Analysis</w:t>
      </w:r>
      <w:r>
        <w:t xml:space="preserve"> </w:t>
      </w:r>
      <w:r>
        <w:t xml:space="preserve">of</w:t>
      </w:r>
      <w:r>
        <w:t xml:space="preserve"> </w:t>
      </w:r>
      <w:r>
        <w:t xml:space="preserve">Copper</w:t>
      </w:r>
      <w:r>
        <w:t xml:space="preserve"> </w:t>
      </w:r>
      <w:r>
        <w:t xml:space="preserve">Alloys</w:t>
      </w:r>
      <w:r>
        <w:t xml:space="preserve">. Archaeometry 59:714–730.</w:t>
      </w:r>
      <w:r>
        <w:t xml:space="preserve"> </w:t>
      </w:r>
      <w:hyperlink r:id="rId167">
        <w:r>
          <w:rPr>
            <w:rStyle w:val="Hyperlink"/>
          </w:rPr>
          <w:t xml:space="preserve">https://doi.org/10.1111/arcm.12282</w:t>
        </w:r>
      </w:hyperlink>
    </w:p>
    <w:bookmarkEnd w:id="168"/>
    <w:bookmarkStart w:id="170" w:name="ref-heilen_refining_2023"/>
    <w:p>
      <w:pPr>
        <w:pStyle w:val="Literaturverzeichnis"/>
      </w:pPr>
      <w:r>
        <w:t xml:space="preserve">Heilen M, Manney SA (2023) Refining</w:t>
      </w:r>
      <w:r>
        <w:t xml:space="preserve"> </w:t>
      </w:r>
      <w:r>
        <w:t xml:space="preserve">Archaeological</w:t>
      </w:r>
      <w:r>
        <w:t xml:space="preserve"> </w:t>
      </w:r>
      <w:r>
        <w:t xml:space="preserve">Data</w:t>
      </w:r>
      <w:r>
        <w:t xml:space="preserve"> </w:t>
      </w:r>
      <w:r>
        <w:t xml:space="preserve">Collection</w:t>
      </w:r>
      <w:r>
        <w:t xml:space="preserve"> </w:t>
      </w:r>
      <w:r>
        <w:t xml:space="preserve">and</w:t>
      </w:r>
      <w:r>
        <w:t xml:space="preserve"> </w:t>
      </w:r>
      <w:r>
        <w:t xml:space="preserve">Management</w:t>
      </w:r>
      <w:r>
        <w:t xml:space="preserve">. Advances in Archaeological Practice 11:1–10.</w:t>
      </w:r>
      <w:r>
        <w:t xml:space="preserve"> </w:t>
      </w:r>
      <w:hyperlink r:id="rId169">
        <w:r>
          <w:rPr>
            <w:rStyle w:val="Hyperlink"/>
          </w:rPr>
          <w:t xml:space="preserve">https://doi.org/10.1017/aap.2022.41</w:t>
        </w:r>
      </w:hyperlink>
    </w:p>
    <w:bookmarkEnd w:id="170"/>
    <w:bookmarkStart w:id="172" w:name="ref-hsu_application_2018"/>
    <w:p>
      <w:pPr>
        <w:pStyle w:val="Literaturverzeichnis"/>
      </w:pPr>
      <w:r>
        <w:t xml:space="preserve">Hsu Y‐K, Rawson J, Pollard AM, et al (2018) Application of</w:t>
      </w:r>
      <w:r>
        <w:t xml:space="preserve"> </w:t>
      </w:r>
      <w:r>
        <w:t xml:space="preserve">Kernel</w:t>
      </w:r>
      <w:r>
        <w:t xml:space="preserve"> </w:t>
      </w:r>
      <w:r>
        <w:t xml:space="preserve">Density</w:t>
      </w:r>
      <w:r>
        <w:t xml:space="preserve"> </w:t>
      </w:r>
      <w:r>
        <w:t xml:space="preserve">Estimates</w:t>
      </w:r>
      <w:r>
        <w:t xml:space="preserve"> </w:t>
      </w:r>
      <w:r>
        <w:t xml:space="preserve">to</w:t>
      </w:r>
      <w:r>
        <w:t xml:space="preserve"> </w:t>
      </w:r>
      <w:r>
        <w:t xml:space="preserve">Lead</w:t>
      </w:r>
      <w:r>
        <w:t xml:space="preserve"> </w:t>
      </w:r>
      <w:r>
        <w:t xml:space="preserve">Isotope</w:t>
      </w:r>
      <w:r>
        <w:t xml:space="preserve"> </w:t>
      </w:r>
      <w:r>
        <w:t xml:space="preserve">Compositions</w:t>
      </w:r>
      <w:r>
        <w:t xml:space="preserve"> </w:t>
      </w:r>
      <w:r>
        <w:t xml:space="preserve">of</w:t>
      </w:r>
      <w:r>
        <w:t xml:space="preserve"> </w:t>
      </w:r>
      <w:r>
        <w:t xml:space="preserve">Bronzes</w:t>
      </w:r>
      <w:r>
        <w:t xml:space="preserve"> </w:t>
      </w:r>
      <w:r>
        <w:t xml:space="preserve">from</w:t>
      </w:r>
      <w:r>
        <w:t xml:space="preserve"> </w:t>
      </w:r>
      <w:r>
        <w:t xml:space="preserve">Ningxia</w:t>
      </w:r>
      <w:r>
        <w:t xml:space="preserve">,</w:t>
      </w:r>
      <w:r>
        <w:t xml:space="preserve"> </w:t>
      </w:r>
      <w:r>
        <w:t xml:space="preserve">North</w:t>
      </w:r>
      <w:r>
        <w:t xml:space="preserve">‐</w:t>
      </w:r>
      <w:r>
        <w:t xml:space="preserve">West</w:t>
      </w:r>
      <w:r>
        <w:t xml:space="preserve"> </w:t>
      </w:r>
      <w:r>
        <w:t xml:space="preserve">China</w:t>
      </w:r>
      <w:r>
        <w:t xml:space="preserve">. Archaeometry 60:128–143.</w:t>
      </w:r>
      <w:r>
        <w:t xml:space="preserve"> </w:t>
      </w:r>
      <w:hyperlink r:id="rId171">
        <w:r>
          <w:rPr>
            <w:rStyle w:val="Hyperlink"/>
          </w:rPr>
          <w:t xml:space="preserve">https://doi.org/10.1111/arcm.12347</w:t>
        </w:r>
      </w:hyperlink>
    </w:p>
    <w:bookmarkEnd w:id="172"/>
    <w:bookmarkStart w:id="174" w:name="ref-huggett_reuse_2018"/>
    <w:p>
      <w:pPr>
        <w:pStyle w:val="Literaturverzeichnis"/>
      </w:pPr>
      <w:r>
        <w:t xml:space="preserve">Huggett J (2018) Reuse</w:t>
      </w:r>
      <w:r>
        <w:t xml:space="preserve"> </w:t>
      </w:r>
      <w:r>
        <w:t xml:space="preserve">Remix</w:t>
      </w:r>
      <w:r>
        <w:t xml:space="preserve"> </w:t>
      </w:r>
      <w:r>
        <w:t xml:space="preserve">Recycle</w:t>
      </w:r>
      <w:r>
        <w:t xml:space="preserve">:</w:t>
      </w:r>
      <w:r>
        <w:t xml:space="preserve"> </w:t>
      </w:r>
      <w:r>
        <w:t xml:space="preserve">Repurposing</w:t>
      </w:r>
      <w:r>
        <w:t xml:space="preserve"> </w:t>
      </w:r>
      <w:r>
        <w:t xml:space="preserve">Archaeological</w:t>
      </w:r>
      <w:r>
        <w:t xml:space="preserve"> </w:t>
      </w:r>
      <w:r>
        <w:t xml:space="preserve">Digital</w:t>
      </w:r>
      <w:r>
        <w:t xml:space="preserve"> </w:t>
      </w:r>
      <w:r>
        <w:t xml:space="preserve">Data</w:t>
      </w:r>
      <w:r>
        <w:t xml:space="preserve">. Advances in Archaeological Practice 6:93–104.</w:t>
      </w:r>
      <w:r>
        <w:t xml:space="preserve"> </w:t>
      </w:r>
      <w:hyperlink r:id="rId173">
        <w:r>
          <w:rPr>
            <w:rStyle w:val="Hyperlink"/>
          </w:rPr>
          <w:t xml:space="preserve">https://doi.org/10.1017/aap.2018.1</w:t>
        </w:r>
      </w:hyperlink>
    </w:p>
    <w:bookmarkEnd w:id="174"/>
    <w:bookmarkStart w:id="176" w:name="ref-johnson_best_2024"/>
    <w:p>
      <w:pPr>
        <w:pStyle w:val="Literaturverzeichnis"/>
      </w:pPr>
      <w:r>
        <w:t xml:space="preserve">Johnson K, Quinn CP, Goodale N, Conrey R (2024) Best</w:t>
      </w:r>
      <w:r>
        <w:t xml:space="preserve"> </w:t>
      </w:r>
      <w:r>
        <w:t xml:space="preserve">Practices</w:t>
      </w:r>
      <w:r>
        <w:t xml:space="preserve"> </w:t>
      </w:r>
      <w:r>
        <w:t xml:space="preserve">for</w:t>
      </w:r>
      <w:r>
        <w:t xml:space="preserve"> </w:t>
      </w:r>
      <w:r>
        <w:t xml:space="preserve">Publishing</w:t>
      </w:r>
      <w:r>
        <w:t xml:space="preserve"> </w:t>
      </w:r>
      <w:r>
        <w:t xml:space="preserve">pXRF</w:t>
      </w:r>
      <w:r>
        <w:t xml:space="preserve"> </w:t>
      </w:r>
      <w:r>
        <w:t xml:space="preserve">Analyses</w:t>
      </w:r>
      <w:r>
        <w:t xml:space="preserve">. Advances in Archaeological Practice 12:156–162.</w:t>
      </w:r>
      <w:r>
        <w:t xml:space="preserve"> </w:t>
      </w:r>
      <w:hyperlink r:id="rId175">
        <w:r>
          <w:rPr>
            <w:rStyle w:val="Hyperlink"/>
          </w:rPr>
          <w:t xml:space="preserve">https://doi.org/10.1017/aap.2024.6</w:t>
        </w:r>
      </w:hyperlink>
    </w:p>
    <w:bookmarkEnd w:id="176"/>
    <w:bookmarkStart w:id="178" w:name="ref-kansa_promoting_2022"/>
    <w:p>
      <w:pPr>
        <w:pStyle w:val="Literaturverzeichnis"/>
      </w:pPr>
      <w:r>
        <w:t xml:space="preserve">Kansa EC, Kansa SW (2022) Promoting data quality and reuse in archaeology through collaborative identifier practices. Proceedings of the National Academy of Sciences 119:e2109313118.</w:t>
      </w:r>
      <w:r>
        <w:t xml:space="preserve"> </w:t>
      </w:r>
      <w:hyperlink r:id="rId177">
        <w:r>
          <w:rPr>
            <w:rStyle w:val="Hyperlink"/>
          </w:rPr>
          <w:t xml:space="preserve">https://doi.org/10.1073/pnas.2109313118</w:t>
        </w:r>
      </w:hyperlink>
    </w:p>
    <w:bookmarkEnd w:id="178"/>
    <w:bookmarkStart w:id="180" w:name="ref-kansa_using_2015"/>
    <w:p>
      <w:pPr>
        <w:pStyle w:val="Literaturverzeichnis"/>
      </w:pPr>
      <w:r>
        <w:t xml:space="preserve">Kansa SW (2015) Using</w:t>
      </w:r>
      <w:r>
        <w:t xml:space="preserve"> </w:t>
      </w:r>
      <w:r>
        <w:t xml:space="preserve">Linked</w:t>
      </w:r>
      <w:r>
        <w:t xml:space="preserve"> </w:t>
      </w:r>
      <w:r>
        <w:t xml:space="preserve">Open</w:t>
      </w:r>
      <w:r>
        <w:t xml:space="preserve"> </w:t>
      </w:r>
      <w:r>
        <w:t xml:space="preserve">Data</w:t>
      </w:r>
      <w:r>
        <w:t xml:space="preserve"> </w:t>
      </w:r>
      <w:r>
        <w:t xml:space="preserve">to</w:t>
      </w:r>
      <w:r>
        <w:t xml:space="preserve"> </w:t>
      </w:r>
      <w:r>
        <w:t xml:space="preserve">Improve</w:t>
      </w:r>
      <w:r>
        <w:t xml:space="preserve"> </w:t>
      </w:r>
      <w:r>
        <w:t xml:space="preserve">Data</w:t>
      </w:r>
      <w:r>
        <w:t xml:space="preserve"> </w:t>
      </w:r>
      <w:r>
        <w:t xml:space="preserve">Reuse</w:t>
      </w:r>
      <w:r>
        <w:t xml:space="preserve"> </w:t>
      </w:r>
      <w:r>
        <w:t xml:space="preserve">in</w:t>
      </w:r>
      <w:r>
        <w:t xml:space="preserve"> </w:t>
      </w:r>
      <w:r>
        <w:t xml:space="preserve">Zooarchaeology</w:t>
      </w:r>
      <w:r>
        <w:t xml:space="preserve">. Ethnobiology Letters 6:224–231.</w:t>
      </w:r>
      <w:r>
        <w:t xml:space="preserve"> </w:t>
      </w:r>
      <w:hyperlink r:id="rId179">
        <w:r>
          <w:rPr>
            <w:rStyle w:val="Hyperlink"/>
          </w:rPr>
          <w:t xml:space="preserve">https://doi.org/10.14237/ebl.6.2.2015.467</w:t>
        </w:r>
      </w:hyperlink>
    </w:p>
    <w:bookmarkEnd w:id="180"/>
    <w:bookmarkStart w:id="182" w:name="ref-kepinska_open_2024"/>
    <w:p>
      <w:pPr>
        <w:pStyle w:val="Literaturverzeichnis"/>
      </w:pPr>
      <w:r>
        <w:t xml:space="preserve">Kępińska AP, Johnson JS, Huckins LM (2024) Open</w:t>
      </w:r>
      <w:r>
        <w:t xml:space="preserve"> </w:t>
      </w:r>
      <w:r>
        <w:t xml:space="preserve">Science</w:t>
      </w:r>
      <w:r>
        <w:t xml:space="preserve"> </w:t>
      </w:r>
      <w:r>
        <w:t xml:space="preserve">Practices</w:t>
      </w:r>
      <w:r>
        <w:t xml:space="preserve"> </w:t>
      </w:r>
      <w:r>
        <w:t xml:space="preserve">in</w:t>
      </w:r>
      <w:r>
        <w:t xml:space="preserve"> </w:t>
      </w:r>
      <w:r>
        <w:t xml:space="preserve">Psychiatric</w:t>
      </w:r>
      <w:r>
        <w:t xml:space="preserve"> </w:t>
      </w:r>
      <w:r>
        <w:t xml:space="preserve">Genetics</w:t>
      </w:r>
      <w:r>
        <w:t xml:space="preserve">:</w:t>
      </w:r>
      <w:r>
        <w:t xml:space="preserve"> </w:t>
      </w:r>
      <w:r>
        <w:t xml:space="preserve">A</w:t>
      </w:r>
      <w:r>
        <w:t xml:space="preserve"> </w:t>
      </w:r>
      <w:r>
        <w:t xml:space="preserve">Primer</w:t>
      </w:r>
      <w:r>
        <w:t xml:space="preserve">. Biological Psychiatry Global Open Science 4:110–119.</w:t>
      </w:r>
      <w:r>
        <w:t xml:space="preserve"> </w:t>
      </w:r>
      <w:hyperlink r:id="rId181">
        <w:r>
          <w:rPr>
            <w:rStyle w:val="Hyperlink"/>
          </w:rPr>
          <w:t xml:space="preserve">https://doi.org/10.1016/j.bpsgos.2023.08.007</w:t>
        </w:r>
      </w:hyperlink>
    </w:p>
    <w:bookmarkEnd w:id="182"/>
    <w:bookmarkStart w:id="184" w:name="ref-kim_selecting_2023"/>
    <w:p>
      <w:pPr>
        <w:pStyle w:val="Literaturverzeichnis"/>
      </w:pPr>
      <w:r>
        <w:t xml:space="preserve">Kim J, Park J-W, Kim H, et al (2023) Selecting reproducible elements in non-destructive portable</w:t>
      </w:r>
      <w:r>
        <w:t xml:space="preserve"> </w:t>
      </w:r>
      <w:r>
        <w:t xml:space="preserve">X</w:t>
      </w:r>
      <w:r>
        <w:t xml:space="preserve">-ray fluorescence analysis of prehistoric and early historical ceramics from</w:t>
      </w:r>
      <w:r>
        <w:t xml:space="preserve"> </w:t>
      </w:r>
      <w:r>
        <w:t xml:space="preserve">Korea</w:t>
      </w:r>
      <w:r>
        <w:t xml:space="preserve">. Journal of Archaeological Science: Reports 47:103788.</w:t>
      </w:r>
      <w:r>
        <w:t xml:space="preserve"> </w:t>
      </w:r>
      <w:hyperlink r:id="rId183">
        <w:r>
          <w:rPr>
            <w:rStyle w:val="Hyperlink"/>
          </w:rPr>
          <w:t xml:space="preserve">https://doi.org/10.1016/j.jasrep.2022.103788</w:t>
        </w:r>
      </w:hyperlink>
    </w:p>
    <w:bookmarkEnd w:id="184"/>
    <w:bookmarkStart w:id="186" w:name="ref-klingner_overcoming_2022"/>
    <w:p>
      <w:pPr>
        <w:pStyle w:val="Literaturverzeichnis"/>
      </w:pPr>
      <w:r>
        <w:t xml:space="preserve">Klingner CM, Denker M, Grün S, et al (2022)</w:t>
      </w:r>
      <w:r>
        <w:t xml:space="preserve"> </w:t>
      </w:r>
      <w:hyperlink r:id="rId185">
        <w:r>
          <w:rPr>
            <w:rStyle w:val="Hyperlink"/>
          </w:rPr>
          <w:t xml:space="preserve">Overcoming the</w:t>
        </w:r>
        <w:r>
          <w:rPr>
            <w:rStyle w:val="Hyperlink"/>
          </w:rPr>
          <w:t xml:space="preserve"> </w:t>
        </w:r>
        <w:r>
          <w:rPr>
            <w:rStyle w:val="Hyperlink"/>
          </w:rPr>
          <w:t xml:space="preserve">Reproducibility</w:t>
        </w:r>
        <w:r>
          <w:rPr>
            <w:rStyle w:val="Hyperlink"/>
          </w:rPr>
          <w:t xml:space="preserve"> </w:t>
        </w:r>
        <w:r>
          <w:rPr>
            <w:rStyle w:val="Hyperlink"/>
          </w:rPr>
          <w:t xml:space="preserve">Crisis</w:t>
        </w:r>
        <w:r>
          <w:rPr>
            <w:rStyle w:val="Hyperlink"/>
          </w:rPr>
          <w:t xml:space="preserve"> </w:t>
        </w:r>
        <w:r>
          <w:rPr>
            <w:rStyle w:val="Hyperlink"/>
          </w:rPr>
          <w:t xml:space="preserve">-</w:t>
        </w:r>
        <w:r>
          <w:rPr>
            <w:rStyle w:val="Hyperlink"/>
          </w:rPr>
          <w:t xml:space="preserve"> </w:t>
        </w:r>
        <w:r>
          <w:rPr>
            <w:rStyle w:val="Hyperlink"/>
          </w:rPr>
          <w:t xml:space="preserve">Results</w:t>
        </w:r>
        <w:r>
          <w:rPr>
            <w:rStyle w:val="Hyperlink"/>
          </w:rPr>
          <w:t xml:space="preserve"> </w:t>
        </w:r>
        <w:r>
          <w:rPr>
            <w:rStyle w:val="Hyperlink"/>
          </w:rPr>
          <w:t xml:space="preserve">of the first</w:t>
        </w:r>
        <w:r>
          <w:rPr>
            <w:rStyle w:val="Hyperlink"/>
          </w:rPr>
          <w:t xml:space="preserve"> </w:t>
        </w:r>
        <w:r>
          <w:rPr>
            <w:rStyle w:val="Hyperlink"/>
          </w:rPr>
          <w:t xml:space="preserve">Community</w:t>
        </w:r>
        <w:r>
          <w:rPr>
            <w:rStyle w:val="Hyperlink"/>
          </w:rPr>
          <w:t xml:space="preserve"> </w:t>
        </w:r>
        <w:r>
          <w:rPr>
            <w:rStyle w:val="Hyperlink"/>
          </w:rPr>
          <w:t xml:space="preserve">Survey</w:t>
        </w:r>
        <w:r>
          <w:rPr>
            <w:rStyle w:val="Hyperlink"/>
          </w:rPr>
          <w:t xml:space="preserve"> </w:t>
        </w:r>
        <w:r>
          <w:rPr>
            <w:rStyle w:val="Hyperlink"/>
          </w:rPr>
          <w:t xml:space="preserve">of the</w:t>
        </w:r>
        <w:r>
          <w:rPr>
            <w:rStyle w:val="Hyperlink"/>
          </w:rPr>
          <w:t xml:space="preserve"> </w:t>
        </w:r>
        <w:r>
          <w:rPr>
            <w:rStyle w:val="Hyperlink"/>
          </w:rPr>
          <w:t xml:space="preserve">German</w:t>
        </w:r>
        <w:r>
          <w:rPr>
            <w:rStyle w:val="Hyperlink"/>
          </w:rPr>
          <w:t xml:space="preserve"> </w:t>
        </w:r>
        <w:r>
          <w:rPr>
            <w:rStyle w:val="Hyperlink"/>
          </w:rPr>
          <w:t xml:space="preserve">National</w:t>
        </w:r>
        <w:r>
          <w:rPr>
            <w:rStyle w:val="Hyperlink"/>
          </w:rPr>
          <w:t xml:space="preserve"> </w:t>
        </w:r>
        <w:r>
          <w:rPr>
            <w:rStyle w:val="Hyperlink"/>
          </w:rPr>
          <w:t xml:space="preserve">Research</w:t>
        </w:r>
        <w:r>
          <w:rPr>
            <w:rStyle w:val="Hyperlink"/>
          </w:rPr>
          <w:t xml:space="preserve"> </w:t>
        </w:r>
        <w:r>
          <w:rPr>
            <w:rStyle w:val="Hyperlink"/>
          </w:rPr>
          <w:t xml:space="preserve">Data</w:t>
        </w:r>
        <w:r>
          <w:rPr>
            <w:rStyle w:val="Hyperlink"/>
          </w:rPr>
          <w:t xml:space="preserve"> </w:t>
        </w:r>
        <w:r>
          <w:rPr>
            <w:rStyle w:val="Hyperlink"/>
          </w:rPr>
          <w:t xml:space="preserve">Infrastructure</w:t>
        </w:r>
        <w:r>
          <w:rPr>
            <w:rStyle w:val="Hyperlink"/>
          </w:rPr>
          <w:t xml:space="preserve"> </w:t>
        </w:r>
        <w:r>
          <w:rPr>
            <w:rStyle w:val="Hyperlink"/>
          </w:rPr>
          <w:t xml:space="preserve">for</w:t>
        </w:r>
        <w:r>
          <w:rPr>
            <w:rStyle w:val="Hyperlink"/>
          </w:rPr>
          <w:t xml:space="preserve"> </w:t>
        </w:r>
        <w:r>
          <w:rPr>
            <w:rStyle w:val="Hyperlink"/>
          </w:rPr>
          <w:t xml:space="preserve">Neuroscience</w:t>
        </w:r>
      </w:hyperlink>
    </w:p>
    <w:bookmarkEnd w:id="186"/>
    <w:bookmarkStart w:id="188" w:name="ref-klingner_research_2023"/>
    <w:p>
      <w:pPr>
        <w:pStyle w:val="Literaturverzeichnis"/>
      </w:pPr>
      <w:r>
        <w:t xml:space="preserve">Klingner CM, Denker M, Grün S, et al (2023) Research</w:t>
      </w:r>
      <w:r>
        <w:t xml:space="preserve"> </w:t>
      </w:r>
      <w:r>
        <w:t xml:space="preserve">Data</w:t>
      </w:r>
      <w:r>
        <w:t xml:space="preserve"> </w:t>
      </w:r>
      <w:r>
        <w:t xml:space="preserve">Management</w:t>
      </w:r>
      <w:r>
        <w:t xml:space="preserve"> </w:t>
      </w:r>
      <w:r>
        <w:t xml:space="preserve">and</w:t>
      </w:r>
      <w:r>
        <w:t xml:space="preserve"> </w:t>
      </w:r>
      <w:r>
        <w:t xml:space="preserve">Data</w:t>
      </w:r>
      <w:r>
        <w:t xml:space="preserve"> </w:t>
      </w:r>
      <w:r>
        <w:t xml:space="preserve">Sharing</w:t>
      </w:r>
      <w:r>
        <w:t xml:space="preserve"> </w:t>
      </w:r>
      <w:r>
        <w:t xml:space="preserve">for</w:t>
      </w:r>
      <w:r>
        <w:t xml:space="preserve"> </w:t>
      </w:r>
      <w:r>
        <w:t xml:space="preserve">Reproducible</w:t>
      </w:r>
      <w:r>
        <w:t xml:space="preserve"> </w:t>
      </w:r>
      <w:r>
        <w:t xml:space="preserve">Research</w:t>
      </w:r>
      <w:r>
        <w:t xml:space="preserve">—</w:t>
      </w:r>
      <w:r>
        <w:t xml:space="preserve">Results</w:t>
      </w:r>
      <w:r>
        <w:t xml:space="preserve"> </w:t>
      </w:r>
      <w:r>
        <w:t xml:space="preserve">of a</w:t>
      </w:r>
      <w:r>
        <w:t xml:space="preserve"> </w:t>
      </w:r>
      <w:r>
        <w:t xml:space="preserve">Community</w:t>
      </w:r>
      <w:r>
        <w:t xml:space="preserve"> </w:t>
      </w:r>
      <w:r>
        <w:t xml:space="preserve">Survey</w:t>
      </w:r>
      <w:r>
        <w:t xml:space="preserve"> </w:t>
      </w:r>
      <w:r>
        <w:t xml:space="preserve">of the</w:t>
      </w:r>
      <w:r>
        <w:t xml:space="preserve"> </w:t>
      </w:r>
      <w:r>
        <w:t xml:space="preserve">German</w:t>
      </w:r>
      <w:r>
        <w:t xml:space="preserve"> </w:t>
      </w:r>
      <w:r>
        <w:t xml:space="preserve">National</w:t>
      </w:r>
      <w:r>
        <w:t xml:space="preserve"> </w:t>
      </w:r>
      <w:r>
        <w:t xml:space="preserve">Research</w:t>
      </w:r>
      <w:r>
        <w:t xml:space="preserve"> </w:t>
      </w:r>
      <w:r>
        <w:t xml:space="preserve">Data</w:t>
      </w:r>
      <w:r>
        <w:t xml:space="preserve"> </w:t>
      </w:r>
      <w:r>
        <w:t xml:space="preserve">Infrastructure</w:t>
      </w:r>
      <w:r>
        <w:t xml:space="preserve"> </w:t>
      </w:r>
      <w:r>
        <w:t xml:space="preserve">Initiative</w:t>
      </w:r>
      <w:r>
        <w:t xml:space="preserve"> </w:t>
      </w:r>
      <w:r>
        <w:t xml:space="preserve">Neuroscience</w:t>
      </w:r>
      <w:r>
        <w:t xml:space="preserve">. eneuro 10:ENEURO.0215–22.2023.</w:t>
      </w:r>
      <w:r>
        <w:t xml:space="preserve"> </w:t>
      </w:r>
      <w:hyperlink r:id="rId187">
        <w:r>
          <w:rPr>
            <w:rStyle w:val="Hyperlink"/>
          </w:rPr>
          <w:t xml:space="preserve">https://doi.org/10.1523/ENEURO.0215-22.2023</w:t>
        </w:r>
      </w:hyperlink>
    </w:p>
    <w:bookmarkEnd w:id="188"/>
    <w:bookmarkStart w:id="190" w:name="ref-klocking_community_2023"/>
    <w:p>
      <w:pPr>
        <w:pStyle w:val="Literaturverzeichnis"/>
      </w:pPr>
      <w:r>
        <w:t xml:space="preserve">Klöcking M, Wyborn L, Lehnert KA, et al (2023) Community recommendations for geochemical data, services and analytical capabilities in the 21st century. Geochimica et Cosmochimica Acta 351:192–205.</w:t>
      </w:r>
      <w:r>
        <w:t xml:space="preserve"> </w:t>
      </w:r>
      <w:hyperlink r:id="rId189">
        <w:r>
          <w:rPr>
            <w:rStyle w:val="Hyperlink"/>
          </w:rPr>
          <w:t xml:space="preserve">https://doi.org/10.1016/j.gca.2023.04.024</w:t>
        </w:r>
      </w:hyperlink>
    </w:p>
    <w:bookmarkEnd w:id="190"/>
    <w:bookmarkStart w:id="192" w:name="ref-kong_illustration_2019"/>
    <w:p>
      <w:pPr>
        <w:pStyle w:val="Literaturverzeichnis"/>
      </w:pPr>
      <w:r>
        <w:t xml:space="preserve">Kong X-Z, ENIGMA Laterality Working Group, Francks C (2019)</w:t>
      </w:r>
      <w:r>
        <w:t xml:space="preserve"> </w:t>
      </w:r>
      <w:hyperlink r:id="rId191">
        <w:r>
          <w:rPr>
            <w:rStyle w:val="Hyperlink"/>
          </w:rPr>
          <w:t xml:space="preserve">An illustration of reproducibility in neuroscience research in the absence of selective reporting</w:t>
        </w:r>
      </w:hyperlink>
    </w:p>
    <w:bookmarkEnd w:id="192"/>
    <w:bookmarkStart w:id="194" w:name="ref-konkol_computational_2019"/>
    <w:p>
      <w:pPr>
        <w:pStyle w:val="Literaturverzeichnis"/>
      </w:pPr>
      <w:r>
        <w:t xml:space="preserve">Konkol M, Kray C, Pfeiffer M (2019) Computational reproducibility in geoscientific papers:</w:t>
      </w:r>
      <w:r>
        <w:t xml:space="preserve"> </w:t>
      </w:r>
      <w:r>
        <w:t xml:space="preserve">Insights</w:t>
      </w:r>
      <w:r>
        <w:t xml:space="preserve"> </w:t>
      </w:r>
      <w:r>
        <w:t xml:space="preserve">from a series of studies with geoscientists and a reproduction study. International Journal of Geographical Information Science 33:408–429.</w:t>
      </w:r>
      <w:r>
        <w:t xml:space="preserve"> </w:t>
      </w:r>
      <w:hyperlink r:id="rId193">
        <w:r>
          <w:rPr>
            <w:rStyle w:val="Hyperlink"/>
          </w:rPr>
          <w:t xml:space="preserve">https://doi.org/10.1080/13658816.2018.1508687</w:t>
        </w:r>
      </w:hyperlink>
    </w:p>
    <w:bookmarkEnd w:id="194"/>
    <w:bookmarkStart w:id="196" w:name="ref-lachenal_bronze_2026"/>
    <w:p>
      <w:pPr>
        <w:pStyle w:val="Literaturverzeichnis"/>
      </w:pPr>
      <w:r>
        <w:t xml:space="preserve">Lachenal T, Baron S, Le Carlier De Veslud C, et al (2026) Bronze</w:t>
      </w:r>
      <w:r>
        <w:t xml:space="preserve"> </w:t>
      </w:r>
      <w:r>
        <w:t xml:space="preserve">Age</w:t>
      </w:r>
      <w:r>
        <w:t xml:space="preserve"> </w:t>
      </w:r>
      <w:r>
        <w:t xml:space="preserve">copper supply in</w:t>
      </w:r>
      <w:r>
        <w:t xml:space="preserve"> </w:t>
      </w:r>
      <w:r>
        <w:t xml:space="preserve">Mediterranean</w:t>
      </w:r>
      <w:r>
        <w:t xml:space="preserve"> </w:t>
      </w:r>
      <w:r>
        <w:t xml:space="preserve">France</w:t>
      </w:r>
      <w:r>
        <w:t xml:space="preserve">: First results from lead isotope and chemical analyses of hoarded metalwork. Journal of Archaeological Science 185:106432.</w:t>
      </w:r>
      <w:r>
        <w:t xml:space="preserve"> </w:t>
      </w:r>
      <w:hyperlink r:id="rId195">
        <w:r>
          <w:rPr>
            <w:rStyle w:val="Hyperlink"/>
          </w:rPr>
          <w:t xml:space="preserve">https://doi.org/10.1016/j.jas.2025.106432</w:t>
        </w:r>
      </w:hyperlink>
    </w:p>
    <w:bookmarkEnd w:id="196"/>
    <w:bookmarkStart w:id="198" w:name="ref-lin_evaluating_2023"/>
    <w:p>
      <w:pPr>
        <w:pStyle w:val="Literaturverzeichnis"/>
      </w:pPr>
      <w:r>
        <w:t xml:space="preserve">Lin J, Wang Y, Liu S, Qian W (2023) Evaluating accuracy and inter-laboratory reproducibility of the compositional analysis of ancient bronzes. Advances in Archaeomaterials 4:100027.</w:t>
      </w:r>
      <w:r>
        <w:t xml:space="preserve"> </w:t>
      </w:r>
      <w:hyperlink r:id="rId197">
        <w:r>
          <w:rPr>
            <w:rStyle w:val="Hyperlink"/>
          </w:rPr>
          <w:t xml:space="preserve">https://doi.org/10.1016/j.aia.2023.100027</w:t>
        </w:r>
      </w:hyperlink>
    </w:p>
    <w:bookmarkEnd w:id="198"/>
    <w:bookmarkStart w:id="200" w:name="ref-ma_reproducibility_2011"/>
    <w:p>
      <w:pPr>
        <w:pStyle w:val="Literaturverzeichnis"/>
      </w:pPr>
      <w:r>
        <w:t xml:space="preserve">Ma J, Bolhar R, Weisler MI, et al (2011) Reproducibility of elemental analyses of basaltic stone artefacts by quadruple</w:t>
      </w:r>
      <w:r>
        <w:t xml:space="preserve"> </w:t>
      </w:r>
      <w:r>
        <w:t xml:space="preserve">ICP</w:t>
      </w:r>
      <w:r>
        <w:t xml:space="preserve">–</w:t>
      </w:r>
      <w:r>
        <w:t xml:space="preserve">MS</w:t>
      </w:r>
      <w:r>
        <w:t xml:space="preserve"> </w:t>
      </w:r>
      <w:r>
        <w:t xml:space="preserve">using different sample sizes and digestion methods, with implications for archaeological research. Archaeometry 53:890–899.</w:t>
      </w:r>
      <w:r>
        <w:t xml:space="preserve"> </w:t>
      </w:r>
      <w:hyperlink r:id="rId199">
        <w:r>
          <w:rPr>
            <w:rStyle w:val="Hyperlink"/>
          </w:rPr>
          <w:t xml:space="preserve">https://doi.org/10.1111/j.1475-4754.2010.00585.x</w:t>
        </w:r>
      </w:hyperlink>
    </w:p>
    <w:bookmarkEnd w:id="200"/>
    <w:bookmarkStart w:id="202" w:name="ref-Marwick2017"/>
    <w:p>
      <w:pPr>
        <w:pStyle w:val="Literaturverzeichnis"/>
      </w:pPr>
      <w:r>
        <w:t xml:space="preserve">Marwick B (2017b) Computational reproducibility in archaeological research: Basic principles and a case study of their implementation. Journal of Archaeological Method and Theory 24:424–450.</w:t>
      </w:r>
      <w:r>
        <w:t xml:space="preserve"> </w:t>
      </w:r>
      <w:hyperlink r:id="rId201">
        <w:r>
          <w:rPr>
            <w:rStyle w:val="Hyperlink"/>
          </w:rPr>
          <w:t xml:space="preserve">https://doi.org/10.1007/s10816-015-9272-9</w:t>
        </w:r>
      </w:hyperlink>
    </w:p>
    <w:bookmarkEnd w:id="202"/>
    <w:bookmarkStart w:id="204" w:name="ref-Marwick2025"/>
    <w:p>
      <w:pPr>
        <w:pStyle w:val="Literaturverzeichnis"/>
      </w:pPr>
      <w:r>
        <w:t xml:space="preserve">Marwick B (2025) Is archaeology a science?</w:t>
      </w:r>
      <w:r>
        <w:t xml:space="preserve"> </w:t>
      </w:r>
      <w:r>
        <w:t xml:space="preserve">Insights</w:t>
      </w:r>
      <w:r>
        <w:t xml:space="preserve"> </w:t>
      </w:r>
      <w:r>
        <w:t xml:space="preserve">and imperatives from 10,000 articles and a year of reproducibility reviews. Journal of Archaeological Science 180:106281. https://doi.org/</w:t>
      </w:r>
      <w:hyperlink r:id="rId203">
        <w:r>
          <w:rPr>
            <w:rStyle w:val="Hyperlink"/>
          </w:rPr>
          <w:t xml:space="preserve">https://doi.org/10.1016/j.jas.2025.106281</w:t>
        </w:r>
      </w:hyperlink>
    </w:p>
    <w:bookmarkEnd w:id="204"/>
    <w:bookmarkStart w:id="205" w:name="ref-marwick_computational_2017"/>
    <w:p>
      <w:pPr>
        <w:pStyle w:val="Literaturverzeichnis"/>
      </w:pPr>
      <w:r>
        <w:t xml:space="preserve">Marwick B (2017a) Computational</w:t>
      </w:r>
      <w:r>
        <w:t xml:space="preserve"> </w:t>
      </w:r>
      <w:r>
        <w:t xml:space="preserve">Reproducibility</w:t>
      </w:r>
      <w:r>
        <w:t xml:space="preserve"> </w:t>
      </w:r>
      <w:r>
        <w:t xml:space="preserve">in</w:t>
      </w:r>
      <w:r>
        <w:t xml:space="preserve"> </w:t>
      </w:r>
      <w:r>
        <w:t xml:space="preserve">Archaeological</w:t>
      </w:r>
      <w:r>
        <w:t xml:space="preserve"> </w:t>
      </w:r>
      <w:r>
        <w:t xml:space="preserve">Research</w:t>
      </w:r>
      <w:r>
        <w:t xml:space="preserve">:</w:t>
      </w:r>
      <w:r>
        <w:t xml:space="preserve"> </w:t>
      </w:r>
      <w:r>
        <w:t xml:space="preserve">Basic</w:t>
      </w:r>
      <w:r>
        <w:t xml:space="preserve"> </w:t>
      </w:r>
      <w:r>
        <w:t xml:space="preserve">Principles</w:t>
      </w:r>
      <w:r>
        <w:t xml:space="preserve"> </w:t>
      </w:r>
      <w:r>
        <w:t xml:space="preserve">and a</w:t>
      </w:r>
      <w:r>
        <w:t xml:space="preserve"> </w:t>
      </w:r>
      <w:r>
        <w:t xml:space="preserve">Case</w:t>
      </w:r>
      <w:r>
        <w:t xml:space="preserve"> </w:t>
      </w:r>
      <w:r>
        <w:t xml:space="preserve">Study</w:t>
      </w:r>
      <w:r>
        <w:t xml:space="preserve"> </w:t>
      </w:r>
      <w:r>
        <w:t xml:space="preserve">of</w:t>
      </w:r>
      <w:r>
        <w:t xml:space="preserve"> </w:t>
      </w:r>
      <w:r>
        <w:t xml:space="preserve">Their</w:t>
      </w:r>
      <w:r>
        <w:t xml:space="preserve"> </w:t>
      </w:r>
      <w:r>
        <w:t xml:space="preserve">Implementation</w:t>
      </w:r>
      <w:r>
        <w:t xml:space="preserve">. Journal of Archaeological Method and Theory 24:424–450.</w:t>
      </w:r>
      <w:r>
        <w:t xml:space="preserve"> </w:t>
      </w:r>
      <w:hyperlink r:id="rId201">
        <w:r>
          <w:rPr>
            <w:rStyle w:val="Hyperlink"/>
          </w:rPr>
          <w:t xml:space="preserve">https://doi.org/10.1007/s10816-015-9272-9</w:t>
        </w:r>
      </w:hyperlink>
    </w:p>
    <w:bookmarkEnd w:id="205"/>
    <w:bookmarkStart w:id="207" w:name="ref-marwick_standard_2018"/>
    <w:p>
      <w:pPr>
        <w:pStyle w:val="Literaturverzeichnis"/>
      </w:pPr>
      <w:r>
        <w:t xml:space="preserve">Marwick B, Birch SEP (2018) A</w:t>
      </w:r>
      <w:r>
        <w:t xml:space="preserve"> </w:t>
      </w:r>
      <w:r>
        <w:t xml:space="preserve">Standard</w:t>
      </w:r>
      <w:r>
        <w:t xml:space="preserve"> </w:t>
      </w:r>
      <w:r>
        <w:t xml:space="preserve">for the</w:t>
      </w:r>
      <w:r>
        <w:t xml:space="preserve"> </w:t>
      </w:r>
      <w:r>
        <w:t xml:space="preserve">Scholarly</w:t>
      </w:r>
      <w:r>
        <w:t xml:space="preserve"> </w:t>
      </w:r>
      <w:r>
        <w:t xml:space="preserve">Citation</w:t>
      </w:r>
      <w:r>
        <w:t xml:space="preserve"> </w:t>
      </w:r>
      <w:r>
        <w:t xml:space="preserve">of</w:t>
      </w:r>
      <w:r>
        <w:t xml:space="preserve"> </w:t>
      </w:r>
      <w:r>
        <w:t xml:space="preserve">Archaeological</w:t>
      </w:r>
      <w:r>
        <w:t xml:space="preserve"> </w:t>
      </w:r>
      <w:r>
        <w:t xml:space="preserve">Data</w:t>
      </w:r>
      <w:r>
        <w:t xml:space="preserve"> </w:t>
      </w:r>
      <w:r>
        <w:t xml:space="preserve">as an</w:t>
      </w:r>
      <w:r>
        <w:t xml:space="preserve"> </w:t>
      </w:r>
      <w:r>
        <w:t xml:space="preserve">Incentive</w:t>
      </w:r>
      <w:r>
        <w:t xml:space="preserve"> </w:t>
      </w:r>
      <w:r>
        <w:t xml:space="preserve">to</w:t>
      </w:r>
      <w:r>
        <w:t xml:space="preserve"> </w:t>
      </w:r>
      <w:r>
        <w:t xml:space="preserve">Data</w:t>
      </w:r>
      <w:r>
        <w:t xml:space="preserve"> </w:t>
      </w:r>
      <w:r>
        <w:t xml:space="preserve">Sharing</w:t>
      </w:r>
      <w:r>
        <w:t xml:space="preserve">. Advances in Archaeological Practice 6:125–143.</w:t>
      </w:r>
      <w:r>
        <w:t xml:space="preserve"> </w:t>
      </w:r>
      <w:hyperlink r:id="rId206">
        <w:r>
          <w:rPr>
            <w:rStyle w:val="Hyperlink"/>
          </w:rPr>
          <w:t xml:space="preserve">https://doi.org/10.1017/aap.2018.3</w:t>
        </w:r>
      </w:hyperlink>
    </w:p>
    <w:bookmarkEnd w:id="207"/>
    <w:bookmarkStart w:id="209" w:name="ref-marwick_packaging_2018"/>
    <w:p>
      <w:pPr>
        <w:pStyle w:val="Literaturverzeichnis"/>
      </w:pPr>
      <w:r>
        <w:t xml:space="preserve">Marwick B, Boettiger C, Mullen L (2018) Packaging</w:t>
      </w:r>
      <w:r>
        <w:t xml:space="preserve"> </w:t>
      </w:r>
      <w:r>
        <w:t xml:space="preserve">Data</w:t>
      </w:r>
      <w:r>
        <w:t xml:space="preserve"> </w:t>
      </w:r>
      <w:r>
        <w:t xml:space="preserve">Analytical</w:t>
      </w:r>
      <w:r>
        <w:t xml:space="preserve"> </w:t>
      </w:r>
      <w:r>
        <w:t xml:space="preserve">Work</w:t>
      </w:r>
      <w:r>
        <w:t xml:space="preserve"> </w:t>
      </w:r>
      <w:r>
        <w:t xml:space="preserve">Reproducibly</w:t>
      </w:r>
      <w:r>
        <w:t xml:space="preserve"> </w:t>
      </w:r>
      <w:r>
        <w:t xml:space="preserve">Using</w:t>
      </w:r>
      <w:r>
        <w:t xml:space="preserve"> </w:t>
      </w:r>
      <w:r>
        <w:t xml:space="preserve">R</w:t>
      </w:r>
      <w:r>
        <w:t xml:space="preserve"> </w:t>
      </w:r>
      <w:r>
        <w:t xml:space="preserve">(and</w:t>
      </w:r>
      <w:r>
        <w:t xml:space="preserve"> </w:t>
      </w:r>
      <w:r>
        <w:t xml:space="preserve">Friends</w:t>
      </w:r>
      <w:r>
        <w:t xml:space="preserve">). The American Statistician 72:80–88.</w:t>
      </w:r>
      <w:r>
        <w:t xml:space="preserve"> </w:t>
      </w:r>
      <w:hyperlink r:id="rId208">
        <w:r>
          <w:rPr>
            <w:rStyle w:val="Hyperlink"/>
          </w:rPr>
          <w:t xml:space="preserve">https://doi.org/10.1080/00031305.2017.1375986</w:t>
        </w:r>
      </w:hyperlink>
    </w:p>
    <w:bookmarkEnd w:id="209"/>
    <w:bookmarkStart w:id="211" w:name="ref-marwick_heres_2017"/>
    <w:p>
      <w:pPr>
        <w:pStyle w:val="Literaturverzeichnis"/>
      </w:pPr>
      <w:r>
        <w:t xml:space="preserve">Marwick B, Jacobs Z (2017)</w:t>
      </w:r>
      <w:r>
        <w:t xml:space="preserve"> </w:t>
      </w:r>
      <w:hyperlink r:id="rId210">
        <w:r>
          <w:rPr>
            <w:rStyle w:val="Hyperlink"/>
          </w:rPr>
          <w:t xml:space="preserve">Here’s the three-pronged approach we’re using in our own research to tackle the reproducibility issue</w:t>
        </w:r>
      </w:hyperlink>
    </w:p>
    <w:bookmarkEnd w:id="211"/>
    <w:bookmarkStart w:id="213" w:name="ref-rrtools"/>
    <w:p>
      <w:pPr>
        <w:pStyle w:val="Literaturverzeichnis"/>
      </w:pPr>
      <w:r>
        <w:t xml:space="preserve">Marwick B, Knitter D, Kennedy P, et al (2019)</w:t>
      </w:r>
      <w:r>
        <w:t xml:space="preserve"> </w:t>
      </w:r>
      <w:hyperlink r:id="rId212">
        <w:r>
          <w:rPr>
            <w:rStyle w:val="Hyperlink"/>
          </w:rPr>
          <w:t xml:space="preserve">rrtools: Creates a Reproducible Research Compendium</w:t>
        </w:r>
      </w:hyperlink>
    </w:p>
    <w:bookmarkEnd w:id="213"/>
    <w:bookmarkStart w:id="215" w:name="ref-masson-trottier_toward_2025"/>
    <w:p>
      <w:pPr>
        <w:pStyle w:val="Literaturverzeichnis"/>
      </w:pPr>
      <w:r>
        <w:t xml:space="preserve">Masson-Trottier M, Dao TT, Narayanan A, Bollmann S (2025) Toward the future of scientific publishing through reproducible research artefacts enabled by</w:t>
      </w:r>
      <w:r>
        <w:t xml:space="preserve"> </w:t>
      </w:r>
      <w:r>
        <w:t xml:space="preserve">Neurodesk</w:t>
      </w:r>
      <w:r>
        <w:t xml:space="preserve">. Aperture Neuro 5:</w:t>
      </w:r>
      <w:r>
        <w:t xml:space="preserve"> </w:t>
      </w:r>
      <w:hyperlink r:id="rId214">
        <w:r>
          <w:rPr>
            <w:rStyle w:val="Hyperlink"/>
          </w:rPr>
          <w:t xml:space="preserve">https://doi.org/10.52294/001c.143700</w:t>
        </w:r>
      </w:hyperlink>
    </w:p>
    <w:bookmarkEnd w:id="215"/>
    <w:bookmarkStart w:id="217" w:name="ref-matarese_kinds_2022"/>
    <w:p>
      <w:pPr>
        <w:pStyle w:val="Literaturverzeichnis"/>
      </w:pPr>
      <w:r>
        <w:t xml:space="preserve">Matarese V (2022) Kinds of</w:t>
      </w:r>
      <w:r>
        <w:t xml:space="preserve"> </w:t>
      </w:r>
      <w:r>
        <w:t xml:space="preserve">Replicability</w:t>
      </w:r>
      <w:r>
        <w:t xml:space="preserve">:</w:t>
      </w:r>
      <w:r>
        <w:t xml:space="preserve"> </w:t>
      </w:r>
      <w:r>
        <w:t xml:space="preserve">Different</w:t>
      </w:r>
      <w:r>
        <w:t xml:space="preserve"> </w:t>
      </w:r>
      <w:r>
        <w:t xml:space="preserve">Terms</w:t>
      </w:r>
      <w:r>
        <w:t xml:space="preserve"> </w:t>
      </w:r>
      <w:r>
        <w:t xml:space="preserve">and</w:t>
      </w:r>
      <w:r>
        <w:t xml:space="preserve"> </w:t>
      </w:r>
      <w:r>
        <w:t xml:space="preserve">Different</w:t>
      </w:r>
      <w:r>
        <w:t xml:space="preserve"> </w:t>
      </w:r>
      <w:r>
        <w:t xml:space="preserve">Functions</w:t>
      </w:r>
      <w:r>
        <w:t xml:space="preserve">. Axiomathes 32:647–670.</w:t>
      </w:r>
      <w:r>
        <w:t xml:space="preserve"> </w:t>
      </w:r>
      <w:hyperlink r:id="rId216">
        <w:r>
          <w:rPr>
            <w:rStyle w:val="Hyperlink"/>
          </w:rPr>
          <w:t xml:space="preserve">https://doi.org/10.1007/s10516-021-09610-2</w:t>
        </w:r>
      </w:hyperlink>
    </w:p>
    <w:bookmarkEnd w:id="217"/>
    <w:bookmarkStart w:id="219" w:name="ref-may_barriers_2015"/>
    <w:p>
      <w:pPr>
        <w:pStyle w:val="Literaturverzeichnis"/>
      </w:pPr>
      <w:r>
        <w:t xml:space="preserve">May K, Binding C, Tudhope D (2015) Barriers and opportunities for</w:t>
      </w:r>
      <w:r>
        <w:t xml:space="preserve"> </w:t>
      </w:r>
      <w:r>
        <w:t xml:space="preserve">Linked</w:t>
      </w:r>
      <w:r>
        <w:t xml:space="preserve"> </w:t>
      </w:r>
      <w:r>
        <w:t xml:space="preserve">Open</w:t>
      </w:r>
      <w:r>
        <w:t xml:space="preserve"> </w:t>
      </w:r>
      <w:r>
        <w:t xml:space="preserve">Data</w:t>
      </w:r>
      <w:r>
        <w:t xml:space="preserve"> </w:t>
      </w:r>
      <w:r>
        <w:t xml:space="preserve">use in archaeology and cultural heritage.</w:t>
      </w:r>
      <w:r>
        <w:t xml:space="preserve"> </w:t>
      </w:r>
      <w:hyperlink r:id="rId218">
        <w:r>
          <w:rPr>
            <w:rStyle w:val="Hyperlink"/>
          </w:rPr>
          <w:t xml:space="preserve">https://doi.org/10.11588/AI.2015.1.26162</w:t>
        </w:r>
      </w:hyperlink>
    </w:p>
    <w:bookmarkEnd w:id="219"/>
    <w:bookmarkStart w:id="221" w:name="ref-mcintosh_three_2020"/>
    <w:p>
      <w:pPr>
        <w:pStyle w:val="Literaturverzeichnis"/>
      </w:pPr>
      <w:r>
        <w:t xml:space="preserve">McIntosh RD, Chambers CD (2020) The three</w:t>
      </w:r>
      <w:r>
        <w:t xml:space="preserve"> </w:t>
      </w:r>
      <w:r>
        <w:t xml:space="preserve">R</w:t>
      </w:r>
      <w:r>
        <w:t xml:space="preserve">’s of scientific integrity:</w:t>
      </w:r>
      <w:r>
        <w:t xml:space="preserve"> </w:t>
      </w:r>
      <w:r>
        <w:t xml:space="preserve">Replicability</w:t>
      </w:r>
      <w:r>
        <w:t xml:space="preserve">, reproducibility, and robustness. Cortex 129:A4–A7.</w:t>
      </w:r>
      <w:r>
        <w:t xml:space="preserve"> </w:t>
      </w:r>
      <w:hyperlink r:id="rId220">
        <w:r>
          <w:rPr>
            <w:rStyle w:val="Hyperlink"/>
          </w:rPr>
          <w:t xml:space="preserve">https://doi.org/10.1016/j.cortex.2020.04.019</w:t>
        </w:r>
      </w:hyperlink>
    </w:p>
    <w:bookmarkEnd w:id="221"/>
    <w:bookmarkStart w:id="223" w:name="ref-milkowski_replicability_2018"/>
    <w:p>
      <w:pPr>
        <w:pStyle w:val="Literaturverzeichnis"/>
      </w:pPr>
      <w:r>
        <w:t xml:space="preserve">Miłkowski M, Hensel WM, Hohol M (2018) Replicability or reproducibility?</w:t>
      </w:r>
      <w:r>
        <w:t xml:space="preserve"> </w:t>
      </w:r>
      <w:r>
        <w:t xml:space="preserve">On</w:t>
      </w:r>
      <w:r>
        <w:t xml:space="preserve"> </w:t>
      </w:r>
      <w:r>
        <w:t xml:space="preserve">the replication crisis in computational neuroscience and sharing only relevant detail. Journal of Computational Neuroscience 45:163–172.</w:t>
      </w:r>
      <w:r>
        <w:t xml:space="preserve"> </w:t>
      </w:r>
      <w:hyperlink r:id="rId222">
        <w:r>
          <w:rPr>
            <w:rStyle w:val="Hyperlink"/>
          </w:rPr>
          <w:t xml:space="preserve">https://doi.org/10.1007/s10827-018-0702-z</w:t>
        </w:r>
      </w:hyperlink>
    </w:p>
    <w:bookmarkEnd w:id="223"/>
    <w:bookmarkStart w:id="225" w:name="ref-moody_digital_2021"/>
    <w:p>
      <w:pPr>
        <w:pStyle w:val="Literaturverzeichnis"/>
      </w:pPr>
      <w:r>
        <w:t xml:space="preserve">Moody B, Dye T, May K, et al (2021) Digital chronological data reuse in archaeology:</w:t>
      </w:r>
      <w:r>
        <w:t xml:space="preserve"> </w:t>
      </w:r>
      <w:r>
        <w:t xml:space="preserve">Three</w:t>
      </w:r>
      <w:r>
        <w:t xml:space="preserve"> </w:t>
      </w:r>
      <w:r>
        <w:t xml:space="preserve">case studies with varying purposes and perspectives. Journal of Archaeological Science: Reports 40:103188.</w:t>
      </w:r>
      <w:r>
        <w:t xml:space="preserve"> </w:t>
      </w:r>
      <w:hyperlink r:id="rId224">
        <w:r>
          <w:rPr>
            <w:rStyle w:val="Hyperlink"/>
          </w:rPr>
          <w:t xml:space="preserve">https://doi.org/10.1016/j.jasrep.2021.103188</w:t>
        </w:r>
      </w:hyperlink>
    </w:p>
    <w:bookmarkEnd w:id="225"/>
    <w:bookmarkStart w:id="227" w:name="ref-mulugeta_credibility_2018"/>
    <w:p>
      <w:pPr>
        <w:pStyle w:val="Literaturverzeichnis"/>
      </w:pPr>
      <w:r>
        <w:t xml:space="preserve">Mulugeta L, Drach A, Erdemir A, et al (2018) Credibility,</w:t>
      </w:r>
      <w:r>
        <w:t xml:space="preserve"> </w:t>
      </w:r>
      <w:r>
        <w:t xml:space="preserve">Replicability</w:t>
      </w:r>
      <w:r>
        <w:t xml:space="preserve">, and</w:t>
      </w:r>
      <w:r>
        <w:t xml:space="preserve"> </w:t>
      </w:r>
      <w:r>
        <w:t xml:space="preserve">Reproducibility</w:t>
      </w:r>
      <w:r>
        <w:t xml:space="preserve"> </w:t>
      </w:r>
      <w:r>
        <w:t xml:space="preserve">in</w:t>
      </w:r>
      <w:r>
        <w:t xml:space="preserve"> </w:t>
      </w:r>
      <w:r>
        <w:t xml:space="preserve">Simulation</w:t>
      </w:r>
      <w:r>
        <w:t xml:space="preserve"> </w:t>
      </w:r>
      <w:r>
        <w:t xml:space="preserve">for</w:t>
      </w:r>
      <w:r>
        <w:t xml:space="preserve"> </w:t>
      </w:r>
      <w:r>
        <w:t xml:space="preserve">Biomedicine</w:t>
      </w:r>
      <w:r>
        <w:t xml:space="preserve"> </w:t>
      </w:r>
      <w:r>
        <w:t xml:space="preserve">and</w:t>
      </w:r>
      <w:r>
        <w:t xml:space="preserve"> </w:t>
      </w:r>
      <w:r>
        <w:t xml:space="preserve">Clinical</w:t>
      </w:r>
      <w:r>
        <w:t xml:space="preserve"> </w:t>
      </w:r>
      <w:r>
        <w:t xml:space="preserve">Applications</w:t>
      </w:r>
      <w:r>
        <w:t xml:space="preserve"> </w:t>
      </w:r>
      <w:r>
        <w:t xml:space="preserve">in</w:t>
      </w:r>
      <w:r>
        <w:t xml:space="preserve"> </w:t>
      </w:r>
      <w:r>
        <w:t xml:space="preserve">Neuroscience</w:t>
      </w:r>
      <w:r>
        <w:t xml:space="preserve">. Frontiers in Neuroinformatics 12:18.</w:t>
      </w:r>
      <w:r>
        <w:t xml:space="preserve"> </w:t>
      </w:r>
      <w:hyperlink r:id="rId226">
        <w:r>
          <w:rPr>
            <w:rStyle w:val="Hyperlink"/>
          </w:rPr>
          <w:t xml:space="preserve">https://doi.org/10.3389/fninf.2018.00018</w:t>
        </w:r>
      </w:hyperlink>
    </w:p>
    <w:bookmarkEnd w:id="227"/>
    <w:bookmarkStart w:id="229" w:name="ref-nicholson_will_2023"/>
    <w:p>
      <w:pPr>
        <w:pStyle w:val="Literaturverzeichnis"/>
      </w:pPr>
      <w:r>
        <w:t xml:space="preserve">Nicholson C, Kansa S, Gupta N, Fernandez R (2023) Will</w:t>
      </w:r>
      <w:r>
        <w:t xml:space="preserve"> </w:t>
      </w:r>
      <w:r>
        <w:t xml:space="preserve">It</w:t>
      </w:r>
      <w:r>
        <w:t xml:space="preserve"> </w:t>
      </w:r>
      <w:r>
        <w:t xml:space="preserve">Ever</w:t>
      </w:r>
      <w:r>
        <w:t xml:space="preserve"> </w:t>
      </w:r>
      <w:r>
        <w:t xml:space="preserve">Be</w:t>
      </w:r>
      <w:r>
        <w:t xml:space="preserve"> </w:t>
      </w:r>
      <w:r>
        <w:t xml:space="preserve">FAIR</w:t>
      </w:r>
      <w:r>
        <w:t xml:space="preserve">?:</w:t>
      </w:r>
      <w:r>
        <w:t xml:space="preserve"> </w:t>
      </w:r>
      <w:r>
        <w:t xml:space="preserve">Making</w:t>
      </w:r>
      <w:r>
        <w:t xml:space="preserve"> </w:t>
      </w:r>
      <w:r>
        <w:t xml:space="preserve">Archaeological</w:t>
      </w:r>
      <w:r>
        <w:t xml:space="preserve"> </w:t>
      </w:r>
      <w:r>
        <w:t xml:space="preserve">Data</w:t>
      </w:r>
      <w:r>
        <w:t xml:space="preserve"> </w:t>
      </w:r>
      <w:r>
        <w:t xml:space="preserve">Findable</w:t>
      </w:r>
      <w:r>
        <w:t xml:space="preserve">,</w:t>
      </w:r>
      <w:r>
        <w:t xml:space="preserve"> </w:t>
      </w:r>
      <w:r>
        <w:t xml:space="preserve">Accessible</w:t>
      </w:r>
      <w:r>
        <w:t xml:space="preserve">,</w:t>
      </w:r>
      <w:r>
        <w:t xml:space="preserve"> </w:t>
      </w:r>
      <w:r>
        <w:t xml:space="preserve">Interoperable</w:t>
      </w:r>
      <w:r>
        <w:t xml:space="preserve">, and</w:t>
      </w:r>
      <w:r>
        <w:t xml:space="preserve"> </w:t>
      </w:r>
      <w:r>
        <w:t xml:space="preserve">Reusable</w:t>
      </w:r>
      <w:r>
        <w:t xml:space="preserve">. Advances in Archaeological Practice 11:63–75.</w:t>
      </w:r>
      <w:r>
        <w:t xml:space="preserve"> </w:t>
      </w:r>
      <w:hyperlink r:id="rId228">
        <w:r>
          <w:rPr>
            <w:rStyle w:val="Hyperlink"/>
          </w:rPr>
          <w:t xml:space="preserve">https://doi.org/10.1017/aap.2022.40</w:t>
        </w:r>
      </w:hyperlink>
    </w:p>
    <w:bookmarkEnd w:id="229"/>
    <w:bookmarkStart w:id="231" w:name="ref-nust_ten_2020"/>
    <w:p>
      <w:pPr>
        <w:pStyle w:val="Literaturverzeichnis"/>
      </w:pPr>
      <w:r>
        <w:t xml:space="preserve">Nüst D, Sochat V, Marwick B, et al (2020) Ten simple rules for writing</w:t>
      </w:r>
      <w:r>
        <w:t xml:space="preserve"> </w:t>
      </w:r>
      <w:r>
        <w:t xml:space="preserve">Dockerfiles</w:t>
      </w:r>
      <w:r>
        <w:t xml:space="preserve"> </w:t>
      </w:r>
      <w:r>
        <w:t xml:space="preserve">for reproducible data science. PLOS Computational Biology 16:e1008316.</w:t>
      </w:r>
      <w:r>
        <w:t xml:space="preserve"> </w:t>
      </w:r>
      <w:hyperlink r:id="rId230">
        <w:r>
          <w:rPr>
            <w:rStyle w:val="Hyperlink"/>
          </w:rPr>
          <w:t xml:space="preserve">https://doi.org/10.1371/journal.pcbi.1008316</w:t>
        </w:r>
      </w:hyperlink>
    </w:p>
    <w:bookmarkEnd w:id="231"/>
    <w:bookmarkStart w:id="233" w:name="ref-plesser_reproducibility_2018"/>
    <w:p>
      <w:pPr>
        <w:pStyle w:val="Literaturverzeichnis"/>
      </w:pPr>
      <w:r>
        <w:t xml:space="preserve">Plesser HE (2018) Reproducibility vs.</w:t>
      </w:r>
      <w:r>
        <w:t xml:space="preserve"> </w:t>
      </w:r>
      <w:r>
        <w:t xml:space="preserve">Replicability</w:t>
      </w:r>
      <w:r>
        <w:t xml:space="preserve">:</w:t>
      </w:r>
      <w:r>
        <w:t xml:space="preserve"> </w:t>
      </w:r>
      <w:r>
        <w:t xml:space="preserve">A</w:t>
      </w:r>
      <w:r>
        <w:t xml:space="preserve"> </w:t>
      </w:r>
      <w:r>
        <w:t xml:space="preserve">Brief</w:t>
      </w:r>
      <w:r>
        <w:t xml:space="preserve"> </w:t>
      </w:r>
      <w:r>
        <w:t xml:space="preserve">History</w:t>
      </w:r>
      <w:r>
        <w:t xml:space="preserve"> </w:t>
      </w:r>
      <w:r>
        <w:t xml:space="preserve">of a</w:t>
      </w:r>
      <w:r>
        <w:t xml:space="preserve"> </w:t>
      </w:r>
      <w:r>
        <w:t xml:space="preserve">Confused</w:t>
      </w:r>
      <w:r>
        <w:t xml:space="preserve"> </w:t>
      </w:r>
      <w:r>
        <w:t xml:space="preserve">Terminology</w:t>
      </w:r>
      <w:r>
        <w:t xml:space="preserve">. Frontiers in Neuroinformatics 11:76.</w:t>
      </w:r>
      <w:r>
        <w:t xml:space="preserve"> </w:t>
      </w:r>
      <w:hyperlink r:id="rId232">
        <w:r>
          <w:rPr>
            <w:rStyle w:val="Hyperlink"/>
          </w:rPr>
          <w:t xml:space="preserve">https://doi.org/10.3389/fninf.2017.00076</w:t>
        </w:r>
      </w:hyperlink>
    </w:p>
    <w:bookmarkEnd w:id="233"/>
    <w:bookmarkStart w:id="235" w:name="ref-ponting_fingerprinting_2003"/>
    <w:p>
      <w:pPr>
        <w:pStyle w:val="Literaturverzeichnis"/>
      </w:pPr>
      <w:r>
        <w:t xml:space="preserve">Ponting M, Evans JA, Pashley V (2003) Fingerprinting of roman mints using laser‐ablation MC–ICP–MS lead isotope analysis. Archaeometry 45:591–597.</w:t>
      </w:r>
      <w:r>
        <w:t xml:space="preserve"> </w:t>
      </w:r>
      <w:hyperlink r:id="rId234">
        <w:r>
          <w:rPr>
            <w:rStyle w:val="Hyperlink"/>
          </w:rPr>
          <w:t xml:space="preserve">https://doi.org/10.1046/j.1475-4754.2003.00130.x</w:t>
        </w:r>
      </w:hyperlink>
    </w:p>
    <w:bookmarkEnd w:id="235"/>
    <w:bookmarkStart w:id="237" w:name="ref-R_Core"/>
    <w:p>
      <w:pPr>
        <w:pStyle w:val="Literaturverzeichnis"/>
      </w:pPr>
      <w:r>
        <w:t xml:space="preserve">R Core Team (2026)</w:t>
      </w:r>
      <w:r>
        <w:t xml:space="preserve"> </w:t>
      </w:r>
      <w:hyperlink r:id="rId236">
        <w:r>
          <w:rPr>
            <w:rStyle w:val="Hyperlink"/>
          </w:rPr>
          <w:t xml:space="preserve">R: A Language and Environment for Statistical Computing</w:t>
        </w:r>
      </w:hyperlink>
    </w:p>
    <w:bookmarkEnd w:id="237"/>
    <w:bookmarkStart w:id="239" w:name="ref-richards_anarchy_2009"/>
    <w:p>
      <w:pPr>
        <w:pStyle w:val="Literaturverzeichnis"/>
      </w:pPr>
      <w:r>
        <w:t xml:space="preserve">Richards JD (2009)</w:t>
      </w:r>
      <w:r>
        <w:t xml:space="preserve"> </w:t>
      </w:r>
      <w:hyperlink r:id="rId238">
        <w:r>
          <w:rPr>
            <w:rStyle w:val="Hyperlink"/>
          </w:rPr>
          <w:t xml:space="preserve">From anarchy to good practice: The evolution of standards in archaeological computing</w:t>
        </w:r>
      </w:hyperlink>
      <w:r>
        <w:t xml:space="preserve">. Archeologia e Calcolatori 20:27–35</w:t>
      </w:r>
    </w:p>
    <w:bookmarkEnd w:id="239"/>
    <w:bookmarkStart w:id="241" w:name="ref-roberts_calling_2018"/>
    <w:p>
      <w:pPr>
        <w:pStyle w:val="Literaturverzeichnis"/>
      </w:pPr>
      <w:r>
        <w:t xml:space="preserve">Roberts P, Fernandes R, Craig OE, et al (2018) Calling all archaeologists: Guidelines for terminology, methodology, data handling, and reporting when undertaking and reviewing stable isotope applications in archaeology. Rapid Communications in Mass Spectrometry 32:361–372.</w:t>
      </w:r>
      <w:r>
        <w:t xml:space="preserve"> </w:t>
      </w:r>
      <w:hyperlink r:id="rId240">
        <w:r>
          <w:rPr>
            <w:rStyle w:val="Hyperlink"/>
          </w:rPr>
          <w:t xml:space="preserve">https://doi.org/10.1002/rcm.8044</w:t>
        </w:r>
      </w:hyperlink>
    </w:p>
    <w:bookmarkEnd w:id="241"/>
    <w:bookmarkStart w:id="243" w:name="ref-astr"/>
    <w:p>
      <w:pPr>
        <w:pStyle w:val="Literaturverzeichnis"/>
      </w:pPr>
      <w:r>
        <w:t xml:space="preserve">Rose T, Abagna MA, Acevedo Mejia A, et al</w:t>
      </w:r>
      <w:r>
        <w:t xml:space="preserve"> </w:t>
      </w:r>
      <w:r>
        <w:t xml:space="preserve">(2026)</w:t>
      </w:r>
      <w:r>
        <w:t xml:space="preserve"> </w:t>
      </w:r>
      <w:hyperlink r:id="rId242">
        <w:r>
          <w:rPr>
            <w:rStyle w:val="Hyperlink"/>
          </w:rPr>
          <w:t xml:space="preserve">ASTR: Archaeometric Standards and Tools in R</w:t>
        </w:r>
      </w:hyperlink>
    </w:p>
    <w:bookmarkEnd w:id="243"/>
    <w:bookmarkStart w:id="245" w:name="ref-roth_ten_2025"/>
    <w:p>
      <w:pPr>
        <w:pStyle w:val="Literaturverzeichnis"/>
      </w:pPr>
      <w:r>
        <w:t xml:space="preserve">Roth J, Duan Y, Mahner FP, et al (2025) Ten principles for reliable, efficient, and adaptable coding in psychology and cognitive neuroscience. Communications Psychology 3:62.</w:t>
      </w:r>
      <w:r>
        <w:t xml:space="preserve"> </w:t>
      </w:r>
      <w:hyperlink r:id="rId244">
        <w:r>
          <w:rPr>
            <w:rStyle w:val="Hyperlink"/>
          </w:rPr>
          <w:t xml:space="preserve">https://doi.org/10.1038/s44271-025-00236-3</w:t>
        </w:r>
      </w:hyperlink>
    </w:p>
    <w:bookmarkEnd w:id="245"/>
    <w:bookmarkStart w:id="247" w:name="ref-samuel_computational_2024"/>
    <w:p>
      <w:pPr>
        <w:pStyle w:val="Literaturverzeichnis"/>
      </w:pPr>
      <w:r>
        <w:t xml:space="preserve">Samuel S, Mietchen D (2024) Computational reproducibility of</w:t>
      </w:r>
      <w:r>
        <w:t xml:space="preserve"> </w:t>
      </w:r>
      <w:r>
        <w:t xml:space="preserve">Jupyter</w:t>
      </w:r>
      <w:r>
        <w:t xml:space="preserve"> </w:t>
      </w:r>
      <w:r>
        <w:t xml:space="preserve">notebooks from biomedical publications. GigaScience 13:giad113.</w:t>
      </w:r>
      <w:r>
        <w:t xml:space="preserve"> </w:t>
      </w:r>
      <w:hyperlink r:id="rId246">
        <w:r>
          <w:rPr>
            <w:rStyle w:val="Hyperlink"/>
          </w:rPr>
          <w:t xml:space="preserve">https://doi.org/10.1093/gigascience/giad113</w:t>
        </w:r>
      </w:hyperlink>
    </w:p>
    <w:bookmarkEnd w:id="247"/>
    <w:bookmarkStart w:id="248" w:name="ref-shadmehr_multivariate_2016"/>
    <w:p>
      <w:pPr>
        <w:pStyle w:val="Literaturverzeichnis"/>
      </w:pPr>
      <w:r>
        <w:t xml:space="preserve">Shadmehr A, Mostafaei S (2016) Multivariate</w:t>
      </w:r>
      <w:r>
        <w:t xml:space="preserve"> </w:t>
      </w:r>
      <w:r>
        <w:t xml:space="preserve">Statistical</w:t>
      </w:r>
      <w:r>
        <w:t xml:space="preserve"> </w:t>
      </w:r>
      <w:r>
        <w:t xml:space="preserve">Approaches</w:t>
      </w:r>
      <w:r>
        <w:t xml:space="preserve"> </w:t>
      </w:r>
      <w:r>
        <w:t xml:space="preserve">in</w:t>
      </w:r>
      <w:r>
        <w:t xml:space="preserve"> </w:t>
      </w:r>
      <w:r>
        <w:t xml:space="preserve">Archeology</w:t>
      </w:r>
      <w:r>
        <w:t xml:space="preserve">:</w:t>
      </w:r>
      <w:r>
        <w:t xml:space="preserve"> </w:t>
      </w:r>
      <w:r>
        <w:t xml:space="preserve">A</w:t>
      </w:r>
      <w:r>
        <w:t xml:space="preserve"> </w:t>
      </w:r>
      <w:r>
        <w:t xml:space="preserve">Systematic</w:t>
      </w:r>
      <w:r>
        <w:t xml:space="preserve"> </w:t>
      </w:r>
      <w:r>
        <w:t xml:space="preserve">Review</w:t>
      </w:r>
      <w:r>
        <w:t xml:space="preserve">. International Journal of the Society of Iranian Archaeologists 2:88–93</w:t>
      </w:r>
    </w:p>
    <w:bookmarkEnd w:id="248"/>
    <w:bookmarkStart w:id="250" w:name="ref-sheehan_comparing_2015"/>
    <w:p>
      <w:pPr>
        <w:pStyle w:val="Literaturverzeichnis"/>
      </w:pPr>
      <w:r>
        <w:t xml:space="preserve">Sheehan B (2015) Comparing</w:t>
      </w:r>
      <w:r>
        <w:t xml:space="preserve"> </w:t>
      </w:r>
      <w:r>
        <w:t xml:space="preserve">Digital</w:t>
      </w:r>
      <w:r>
        <w:t xml:space="preserve"> </w:t>
      </w:r>
      <w:r>
        <w:t xml:space="preserve">Archaeological</w:t>
      </w:r>
      <w:r>
        <w:t xml:space="preserve"> </w:t>
      </w:r>
      <w:r>
        <w:t xml:space="preserve">Repositories</w:t>
      </w:r>
      <w:r>
        <w:t xml:space="preserve">:</w:t>
      </w:r>
      <w:r>
        <w:t xml:space="preserve"> </w:t>
      </w:r>
      <w:r>
        <w:t xml:space="preserve">tDAR</w:t>
      </w:r>
      <w:r>
        <w:t xml:space="preserve"> </w:t>
      </w:r>
      <w:r>
        <w:t xml:space="preserve">Versus</w:t>
      </w:r>
      <w:r>
        <w:t xml:space="preserve"> </w:t>
      </w:r>
      <w:r>
        <w:t xml:space="preserve">Open</w:t>
      </w:r>
      <w:r>
        <w:t xml:space="preserve"> </w:t>
      </w:r>
      <w:r>
        <w:t xml:space="preserve">Context</w:t>
      </w:r>
      <w:r>
        <w:t xml:space="preserve">. Behavioral &amp; Social Sciences Librarian 34:173–213.</w:t>
      </w:r>
      <w:r>
        <w:t xml:space="preserve"> </w:t>
      </w:r>
      <w:hyperlink r:id="rId249">
        <w:r>
          <w:rPr>
            <w:rStyle w:val="Hyperlink"/>
          </w:rPr>
          <w:t xml:space="preserve">https://doi.org/10.1080/01639269.2015.1096155</w:t>
        </w:r>
      </w:hyperlink>
    </w:p>
    <w:bookmarkEnd w:id="250"/>
    <w:bookmarkStart w:id="252" w:name="ref-staudigel_electronic_2003"/>
    <w:p>
      <w:pPr>
        <w:pStyle w:val="Literaturverzeichnis"/>
      </w:pPr>
      <w:r>
        <w:t xml:space="preserve">Staudigel H, Helly J, Koppers AAP, et al (2003) Electronic data publication in geochemistry. Geochemistry, Geophysics, Geosystems 4:2002GC000314.</w:t>
      </w:r>
      <w:r>
        <w:t xml:space="preserve"> </w:t>
      </w:r>
      <w:hyperlink r:id="rId251">
        <w:r>
          <w:rPr>
            <w:rStyle w:val="Hyperlink"/>
          </w:rPr>
          <w:t xml:space="preserve">https://doi.org/10.1029/2002GC000314</w:t>
        </w:r>
      </w:hyperlink>
    </w:p>
    <w:bookmarkEnd w:id="252"/>
    <w:bookmarkStart w:id="253" w:name="ref-steckler_editorial_2015"/>
    <w:p>
      <w:pPr>
        <w:pStyle w:val="Literaturverzeichnis"/>
      </w:pPr>
      <w:r>
        <w:t xml:space="preserve">Steckler T (2015) Editorial: Preclinical data reproducibility for</w:t>
      </w:r>
      <w:r>
        <w:t xml:space="preserve"> </w:t>
      </w:r>
      <w:r>
        <w:t xml:space="preserve">R</w:t>
      </w:r>
      <w:r>
        <w:t xml:space="preserve">&amp;</w:t>
      </w:r>
      <w:r>
        <w:t xml:space="preserve">D</w:t>
      </w:r>
      <w:r>
        <w:t xml:space="preserve"> </w:t>
      </w:r>
      <w:r>
        <w:t xml:space="preserve">- the challenge for neuroscience. SpringerPlus 4:1–4</w:t>
      </w:r>
    </w:p>
    <w:bookmarkEnd w:id="253"/>
    <w:bookmarkStart w:id="255" w:name="ref-stodolova_beyond_2025"/>
    <w:p>
      <w:pPr>
        <w:pStyle w:val="Literaturverzeichnis"/>
      </w:pPr>
      <w:r>
        <w:t xml:space="preserve">Stodolová K, La Duc E, Millett M, Martinón-Torres M (2025) Beyond tools and weapons:</w:t>
      </w:r>
      <w:r>
        <w:t xml:space="preserve"> </w:t>
      </w:r>
      <w:r>
        <w:t xml:space="preserve">A</w:t>
      </w:r>
      <w:r>
        <w:t xml:space="preserve"> </w:t>
      </w:r>
      <w:r>
        <w:t xml:space="preserve">study of iron supply and nail manufacture in</w:t>
      </w:r>
      <w:r>
        <w:t xml:space="preserve"> </w:t>
      </w:r>
      <w:r>
        <w:t xml:space="preserve">Roman</w:t>
      </w:r>
      <w:r>
        <w:t xml:space="preserve"> </w:t>
      </w:r>
      <w:r>
        <w:t xml:space="preserve">Aldborough</w:t>
      </w:r>
      <w:r>
        <w:t xml:space="preserve">,</w:t>
      </w:r>
      <w:r>
        <w:t xml:space="preserve"> </w:t>
      </w:r>
      <w:r>
        <w:t xml:space="preserve">Britain</w:t>
      </w:r>
      <w:r>
        <w:t xml:space="preserve">. Journal of Archaeological Science: Reports 61:104910.</w:t>
      </w:r>
      <w:r>
        <w:t xml:space="preserve"> </w:t>
      </w:r>
      <w:hyperlink r:id="rId254">
        <w:r>
          <w:rPr>
            <w:rStyle w:val="Hyperlink"/>
          </w:rPr>
          <w:t xml:space="preserve">https://doi.org/10.1016/j.jasrep.2024.104910</w:t>
        </w:r>
      </w:hyperlink>
    </w:p>
    <w:bookmarkEnd w:id="255"/>
    <w:bookmarkStart w:id="257" w:name="ref-compositions"/>
    <w:p>
      <w:pPr>
        <w:pStyle w:val="Literaturverzeichnis"/>
      </w:pPr>
      <w:r>
        <w:t xml:space="preserve">van den Boogaart KG, Tolosana-Delgado R, Bren M</w:t>
      </w:r>
      <w:r>
        <w:t xml:space="preserve"> </w:t>
      </w:r>
      <w:r>
        <w:t xml:space="preserve">(2025)</w:t>
      </w:r>
      <w:r>
        <w:t xml:space="preserve"> </w:t>
      </w:r>
      <w:hyperlink r:id="rId256">
        <w:r>
          <w:rPr>
            <w:rStyle w:val="Hyperlink"/>
          </w:rPr>
          <w:t xml:space="preserve">compositions: Compositional Data Analysis</w:t>
        </w:r>
      </w:hyperlink>
    </w:p>
    <w:bookmarkEnd w:id="257"/>
    <w:bookmarkStart w:id="259" w:name="ref-welti_common_2024"/>
    <w:p>
      <w:pPr>
        <w:pStyle w:val="Literaturverzeichnis"/>
      </w:pPr>
      <w:r>
        <w:t xml:space="preserve">Welti N, Flick L, Hawkins S, et al (2024)</w:t>
      </w:r>
      <w:r>
        <w:t xml:space="preserve"> </w:t>
      </w:r>
      <w:hyperlink r:id="rId258">
        <w:r>
          <w:rPr>
            <w:rStyle w:val="Hyperlink"/>
          </w:rPr>
          <w:t xml:space="preserve">A common standard template for representing stable isotope results and associated metadata</w:t>
        </w:r>
      </w:hyperlink>
    </w:p>
    <w:bookmarkEnd w:id="259"/>
    <w:bookmarkStart w:id="261" w:name="ref-ggplot2"/>
    <w:p>
      <w:pPr>
        <w:pStyle w:val="Literaturverzeichnis"/>
      </w:pPr>
      <w:r>
        <w:t xml:space="preserve">Wickham H (2016)</w:t>
      </w:r>
      <w:r>
        <w:t xml:space="preserve"> </w:t>
      </w:r>
      <w:hyperlink r:id="rId260">
        <w:r>
          <w:rPr>
            <w:rStyle w:val="Hyperlink"/>
          </w:rPr>
          <w:t xml:space="preserve">ggplot2: Elegant graphics for data analysis</w:t>
        </w:r>
      </w:hyperlink>
      <w:r>
        <w:t xml:space="preserve">. Springer-Verlag New York</w:t>
      </w:r>
    </w:p>
    <w:bookmarkEnd w:id="261"/>
    <w:bookmarkStart w:id="263" w:name="ref-wilkinson_fair_2016"/>
    <w:p>
      <w:pPr>
        <w:pStyle w:val="Literaturverzeichnis"/>
      </w:pPr>
      <w:r>
        <w:t xml:space="preserve">Wilkinson MD, Dumontier M, Aalbersberg IjJ, et al (2016) The</w:t>
      </w:r>
      <w:r>
        <w:t xml:space="preserve"> </w:t>
      </w:r>
      <w:r>
        <w:t xml:space="preserve">FAIR</w:t>
      </w:r>
      <w:r>
        <w:t xml:space="preserve"> </w:t>
      </w:r>
      <w:r>
        <w:t xml:space="preserve">Guiding</w:t>
      </w:r>
      <w:r>
        <w:t xml:space="preserve"> </w:t>
      </w:r>
      <w:r>
        <w:t xml:space="preserve">Principles</w:t>
      </w:r>
      <w:r>
        <w:t xml:space="preserve"> </w:t>
      </w:r>
      <w:r>
        <w:t xml:space="preserve">for scientific data management and stewardship. Scientific Data 3:160018.</w:t>
      </w:r>
      <w:r>
        <w:t xml:space="preserve"> </w:t>
      </w:r>
      <w:hyperlink r:id="rId262">
        <w:r>
          <w:rPr>
            <w:rStyle w:val="Hyperlink"/>
          </w:rPr>
          <w:t xml:space="preserve">https://doi.org/10.1038/sdata.2016.18</w:t>
        </w:r>
      </w:hyperlink>
    </w:p>
    <w:bookmarkEnd w:id="263"/>
    <w:bookmarkStart w:id="265" w:name="ref-knitr1"/>
    <w:p>
      <w:pPr>
        <w:pStyle w:val="Literaturverzeichnis"/>
      </w:pPr>
      <w:r>
        <w:t xml:space="preserve">Xie Y (2015)</w:t>
      </w:r>
      <w:r>
        <w:t xml:space="preserve"> </w:t>
      </w:r>
      <w:hyperlink r:id="rId264">
        <w:r>
          <w:rPr>
            <w:rStyle w:val="Hyperlink"/>
          </w:rPr>
          <w:t xml:space="preserve">Dynamic documents with</w:t>
        </w:r>
        <w:r>
          <w:rPr>
            <w:rStyle w:val="Hyperlink"/>
          </w:rPr>
          <w:t xml:space="preserve"> </w:t>
        </w:r>
        <w:r>
          <w:rPr>
            <w:rStyle w:val="Hyperlink"/>
          </w:rPr>
          <w:t xml:space="preserve">R</w:t>
        </w:r>
        <w:r>
          <w:rPr>
            <w:rStyle w:val="Hyperlink"/>
          </w:rPr>
          <w:t xml:space="preserve"> </w:t>
        </w:r>
        <w:r>
          <w:rPr>
            <w:rStyle w:val="Hyperlink"/>
          </w:rPr>
          <w:t xml:space="preserve">and knitr</w:t>
        </w:r>
      </w:hyperlink>
      <w:r>
        <w:t xml:space="preserve">, 2nd edn. Chapman; Hall/CRC, Boca Raton, Florida</w:t>
      </w:r>
    </w:p>
    <w:bookmarkEnd w:id="265"/>
    <w:bookmarkStart w:id="266" w:name="ref-knitr2"/>
    <w:p>
      <w:pPr>
        <w:pStyle w:val="Literaturverzeichnis"/>
      </w:pPr>
      <w:r>
        <w:t xml:space="preserve">Xie Y (2014) Knitr: A comprehensive tool for reproducible research in</w:t>
      </w:r>
      <w:r>
        <w:t xml:space="preserve"> </w:t>
      </w:r>
      <w:r>
        <w:t xml:space="preserve">R</w:t>
      </w:r>
      <w:r>
        <w:t xml:space="preserve">. In: Stodden V, Leisch F, Peng RD (eds) Implementing reproducible computational research. Chapman; Hall/CRC</w:t>
      </w:r>
    </w:p>
    <w:bookmarkEnd w:id="266"/>
    <w:bookmarkStart w:id="268" w:name="ref-rmarkdown1"/>
    <w:p>
      <w:pPr>
        <w:pStyle w:val="Literaturverzeichnis"/>
      </w:pPr>
      <w:r>
        <w:t xml:space="preserve">Xie Y, Allaire JJ, Grolemund G (2018)</w:t>
      </w:r>
      <w:r>
        <w:t xml:space="preserve"> </w:t>
      </w:r>
      <w:hyperlink r:id="rId267">
        <w:r>
          <w:rPr>
            <w:rStyle w:val="Hyperlink"/>
          </w:rPr>
          <w:t xml:space="preserve">R markdown: The definitive guide</w:t>
        </w:r>
      </w:hyperlink>
      <w:r>
        <w:t xml:space="preserve">. Chapman; Hall/CRC, Boca Raton, Florida</w:t>
      </w:r>
    </w:p>
    <w:bookmarkEnd w:id="268"/>
    <w:bookmarkStart w:id="270" w:name="ref-rmarkdown2"/>
    <w:p>
      <w:pPr>
        <w:pStyle w:val="Literaturverzeichnis"/>
      </w:pPr>
      <w:r>
        <w:t xml:space="preserve">Xie Y, Dervieux C, Riederer E (2020)</w:t>
      </w:r>
      <w:r>
        <w:t xml:space="preserve"> </w:t>
      </w:r>
      <w:hyperlink r:id="rId269">
        <w:r>
          <w:rPr>
            <w:rStyle w:val="Hyperlink"/>
          </w:rPr>
          <w:t xml:space="preserve">R markdown cookbook</w:t>
        </w:r>
      </w:hyperlink>
      <w:r>
        <w:t xml:space="preserve">. Chapman; Hall/CRC, Boca Raton, Florida</w:t>
      </w:r>
    </w:p>
    <w:bookmarkEnd w:id="270"/>
    <w:bookmarkEnd w:id="271"/>
    <w:bookmarkEnd w:id="272"/>
    <w:sectPr w:rsidR="007B6B4D" w:rsidRPr="007B6B4D" w:rsidSect="00014752">
      <w:headerReference r:id="rId8" w:type="even"/>
      <w:headerReference r:id="rId9" w:type="default"/>
      <w:footerReference r:id="rId10" w:type="even"/>
      <w:footerReference r:id="rId11" w:type="default"/>
      <w:headerReference r:id="rId12" w:type="first"/>
      <w:footerReference r:id="rId13" w:type="first"/>
      <w:pgSz w:h="15840" w:w="12240"/>
      <w:pgMar w:bottom="1440" w:footer="720" w:gutter="0" w:header="720" w:left="1440" w:right="1440" w:top="1440"/>
      <w:lnNumType w:countBy="1" w:restart="continuous"/>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B6B4D" w:rsidRDefault="007B6B4D">
    <w:pPr>
      <w:pStyle w:val="Fuzeile"/>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08398313"/>
      <w:docPartObj>
        <w:docPartGallery w:val="Page Numbers (Bottom of Page)"/>
        <w:docPartUnique/>
      </w:docPartObj>
    </w:sdtPr>
    <w:sdtContent>
      <w:p w:rsidR="007B6B4D" w:rsidRDefault="00223392" w:rsidP="00DF1A7E">
        <w:pPr>
          <w:pStyle w:val="Fuzeile"/>
          <w:jc w:val="right"/>
        </w:pPr>
        <w:fldSimple w:instr=" PAGE   \* MERGEFORMAT ">
          <w:r w:rsidR="00506E88">
            <w:rPr>
              <w:noProof/>
            </w:rPr>
            <w:t>1</w:t>
          </w:r>
        </w:fldSimple>
      </w:p>
    </w:sdtContent>
  </w:sdt>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B6B4D" w:rsidRDefault="007B6B4D">
    <w:pPr>
      <w:pStyle w:val="Fuzeile"/>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B6B4D" w:rsidRDefault="007B6B4D">
    <w:pPr>
      <w:pStyle w:val="Kopfzeile"/>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B6B4D" w:rsidRDefault="007B6B4D">
    <w:pPr>
      <w:pStyle w:val="Kopfzeile"/>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B6B4D" w:rsidRDefault="007B6B4D">
    <w:pPr>
      <w:pStyle w:val="Kopfzeile"/>
    </w:pPr>
  </w:p>
</w:hdr>
</file>

<file path=word/numbering.xml><?xml version="1.0" encoding="utf-8"?>
<w:numbering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abstractNum w:abstractNumId="0">
    <w:nsid w:val="95C299B2"/>
    <w:multiLevelType w:val="multilevel"/>
    <w:tmpl w:val="4A32D3E4"/>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decimal"/>
      <w:lvlText w:val=""/>
      <w:lvlJc w:val="left"/>
    </w:lvl>
    <w:lvl w:ilvl="8">
      <w:numFmt w:val="decimal"/>
      <w:lvlText w:val=""/>
      <w:lvlJc w:val="left"/>
    </w:lvl>
  </w:abstractNum>
  <w:abstractNum w:abstractNumId="1">
    <w:nsid w:val="A7FBC57F"/>
    <w:multiLevelType w:val="multilevel"/>
    <w:tmpl w:val="313AFBD8"/>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abstractNumId="2">
    <w:nsid w:val="E17F69BA"/>
    <w:multiLevelType w:val="multilevel"/>
    <w:tmpl w:val="62AA6D94"/>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2"/>
  </w:num>
  <w:num w:numId="2">
    <w:abstractNumId w:val="1"/>
  </w:num>
  <w:num w:numId="3">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6"/>
  <w:embedSystemFonts/>
  <w:proofState w:spelling="clean"/>
  <w:stylePaneFormatFilter w:val="0004"/>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rsids>
    <w:rsidRoot w:val="00590D07"/>
    <w:rsid w:val="00011C8B"/>
    <w:rsid w:val="00014752"/>
    <w:rsid w:val="00223392"/>
    <w:rsid w:val="00323135"/>
    <w:rsid w:val="00373DB5"/>
    <w:rsid w:val="00466888"/>
    <w:rsid w:val="004C579B"/>
    <w:rsid w:val="004E29B3"/>
    <w:rsid w:val="00506E88"/>
    <w:rsid w:val="00590D07"/>
    <w:rsid w:val="005A091B"/>
    <w:rsid w:val="00705E12"/>
    <w:rsid w:val="00784D58"/>
    <w:rsid w:val="007A575A"/>
    <w:rsid w:val="007B6B4D"/>
    <w:rsid w:val="00884F3F"/>
    <w:rsid w:val="008D6863"/>
    <w:rsid w:val="00970303"/>
    <w:rsid w:val="009F6EF0"/>
    <w:rsid w:val="00B86B75"/>
    <w:rsid w:val="00BC48D5"/>
    <w:rsid w:val="00C36279"/>
    <w:rsid w:val="00C40D01"/>
    <w:rsid w:val="00CD39AB"/>
    <w:rsid w:val="00D868D3"/>
    <w:rsid w:val="00DA425F"/>
    <w:rsid w:val="00DF1A7E"/>
    <w:rsid w:val="00E315A3"/>
  </w:rsids>
  <w:themeFontLang w:val="de-DE"/>
  <w:clrSchemeMapping w:accent1="accent1" w:accent2="accent2" w:accent3="accent3" w:accent4="accent4" w:accent5="accent5" w:accent6="accent6" w:bg1="light1" w:bg2="light2" w:followedHyperlink="followedHyperlink" w:hyperlink="hyperlink" w:t1="dark1" w:t2="dark2"/>
  <w:shapeDefaults>
    <o:shapedefaults spidmax="5122" v:ext="edit"/>
    <o:shapelayout v:ext="edit">
      <o:idmap data="1" v:ext="edit"/>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67" w:defLockedState="0" w:defQFormat="0" w:defSemiHidden="1" w:defUIPriority="0" w:defUnhideWhenUsed="1">
    <w:lsdException w:name="Normal" w:semiHidden="0" w:unhideWhenUsed="0"/>
    <w:lsdException w:name="heading 1" w:semiHidden="0" w:unhideWhenUsed="0"/>
    <w:lsdException w:name="heading 4" w:qFormat="1" w:uiPriority="9"/>
    <w:lsdException w:name="footer" w:uiPriority="99"/>
    <w:lsdException w:name="table of authorities" w:semiHidden="0" w:unhideWhenUsed="0"/>
    <w:lsdException w:name="List" w:semiHidden="0" w:unhideWhenUsed="0"/>
    <w:lsdException w:name="List Bullet" w:semiHidden="0" w:unhideWhenUsed="0"/>
    <w:lsdException w:name="Title" w:semiHidden="0" w:unhideWhenUsed="0"/>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lsdException w:name="Strong" w:semiHidden="0" w:unhideWhenUsed="0"/>
    <w:lsdException w:name="Emphasis" w:semiHidden="0" w:unhideWhenUsed="0"/>
    <w:lsdException w:name="Table Web 2" w:semiHidden="0" w:unhideWhenUsed="0"/>
    <w:lsdException w:name="Table Web 3" w:semiHidden="0" w:unhideWhenUsed="0"/>
    <w:lsdException w:name="Balloon Text" w:semiHidden="0" w:unhideWhenUsed="0"/>
    <w:lsdException w:name="Table Grid" w:semiHidden="0" w:unhideWhenUsed="0"/>
    <w:lsdException w:name="Table Theme" w:semiHidden="0" w:unhideWhenUsed="0"/>
    <w:lsdException w:name="Placeholder Text" w:semiHidden="0" w:unhideWhenUsed="0"/>
    <w:lsdException w:name="No Spacing" w:semiHidden="0" w:unhideWhenUsed="0"/>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nhideWhenUsed="0"/>
    <w:lsdException w:name="Quote" w:semiHidden="0" w:unhideWhenUsed="0"/>
    <w:lsdException w:name="Intense Quote" w:semiHidden="0" w:unhideWhenUsed="0"/>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lsdException w:name="Intense Emphasis" w:semiHidden="0" w:unhideWhenUsed="0"/>
    <w:lsdException w:name="Subtle Reference" w:semiHidden="0" w:unhideWhenUsed="0"/>
    <w:lsdException w:name="Intense Reference" w:semiHidden="0" w:unhideWhenUsed="0"/>
    <w:lsdException w:name="Book Title" w:semiHidden="0" w:unhideWhenUsed="0"/>
    <w:lsdException w:name="Bibliography" w:semiHidden="0" w:unhideWhenUsed="0"/>
    <w:lsdException w:name="TOC Heading" w:semiHidden="0" w:unhideWhenUsed="0"/>
  </w:latentStyles>
  <w:style w:default="1" w:styleId="Standard" w:type="paragraph">
    <w:name w:val="Normal"/>
    <w:qFormat/>
    <w:rsid w:val="00506E88"/>
    <w:rPr>
      <w:rFonts w:ascii="Times New Roman" w:hAnsi="Times New Roman"/>
    </w:rPr>
  </w:style>
  <w:style w:styleId="berschrift1" w:type="paragraph">
    <w:name w:val="heading 1"/>
    <w:basedOn w:val="Standard"/>
    <w:next w:val="Textkrper"/>
    <w:uiPriority w:val="9"/>
    <w:qFormat/>
    <w:rsid w:val="00323135"/>
    <w:pPr>
      <w:keepNext/>
      <w:keepLines/>
      <w:spacing w:after="0" w:before="480"/>
      <w:outlineLvl w:val="0"/>
    </w:pPr>
    <w:rPr>
      <w:rFonts w:asciiTheme="majorHAnsi" w:cstheme="majorBidi" w:eastAsiaTheme="majorEastAsia" w:hAnsiTheme="majorHAnsi"/>
      <w:b/>
      <w:bCs/>
      <w:color w:themeColor="accent1" w:themeShade="B5" w:val="345A8A"/>
      <w:sz w:val="32"/>
      <w:szCs w:val="32"/>
    </w:rPr>
  </w:style>
  <w:style w:styleId="berschrift2" w:type="paragraph">
    <w:name w:val="heading 2"/>
    <w:basedOn w:val="Standard"/>
    <w:next w:val="Textkrper"/>
    <w:uiPriority w:val="9"/>
    <w:unhideWhenUsed/>
    <w:qFormat/>
    <w:rsid w:val="00323135"/>
    <w:pPr>
      <w:keepNext/>
      <w:keepLines/>
      <w:spacing w:after="0" w:before="200"/>
      <w:outlineLvl w:val="1"/>
    </w:pPr>
    <w:rPr>
      <w:rFonts w:asciiTheme="majorHAnsi" w:cstheme="majorBidi" w:eastAsiaTheme="majorEastAsia" w:hAnsiTheme="majorHAnsi"/>
      <w:b/>
      <w:bCs/>
      <w:color w:themeColor="accent1" w:val="4F81BD"/>
      <w:sz w:val="32"/>
      <w:szCs w:val="32"/>
    </w:rPr>
  </w:style>
  <w:style w:styleId="berschrift3" w:type="paragraph">
    <w:name w:val="heading 3"/>
    <w:basedOn w:val="Standard"/>
    <w:next w:val="Textkrper"/>
    <w:uiPriority w:val="9"/>
    <w:unhideWhenUsed/>
    <w:qFormat/>
    <w:rsid w:val="00323135"/>
    <w:pPr>
      <w:keepNext/>
      <w:keepLines/>
      <w:spacing w:after="0" w:before="200"/>
      <w:outlineLvl w:val="2"/>
    </w:pPr>
    <w:rPr>
      <w:rFonts w:asciiTheme="majorHAnsi" w:cstheme="majorBidi" w:eastAsiaTheme="majorEastAsia" w:hAnsiTheme="majorHAnsi"/>
      <w:b/>
      <w:bCs/>
      <w:color w:themeColor="accent1" w:val="4F81BD"/>
      <w:sz w:val="28"/>
      <w:szCs w:val="28"/>
    </w:rPr>
  </w:style>
  <w:style w:styleId="berschrift4" w:type="paragraph">
    <w:name w:val="heading 4"/>
    <w:basedOn w:val="Standard"/>
    <w:next w:val="Textkrper"/>
    <w:uiPriority w:val="9"/>
    <w:unhideWhenUsed/>
    <w:qFormat/>
    <w:rsid w:val="00323135"/>
    <w:pPr>
      <w:keepNext/>
      <w:keepLines/>
      <w:spacing w:after="0" w:before="200"/>
      <w:outlineLvl w:val="3"/>
    </w:pPr>
    <w:rPr>
      <w:rFonts w:asciiTheme="majorHAnsi" w:cstheme="majorBidi" w:eastAsiaTheme="majorEastAsia" w:hAnsiTheme="majorHAnsi"/>
      <w:b/>
      <w:bCs/>
      <w:color w:themeColor="accent1" w:val="4F81BD"/>
    </w:rPr>
  </w:style>
  <w:style w:styleId="berschrift5" w:type="paragraph">
    <w:name w:val="heading 5"/>
    <w:basedOn w:val="berschrift4"/>
    <w:next w:val="Textkrper"/>
    <w:uiPriority w:val="9"/>
    <w:unhideWhenUsed/>
    <w:qFormat/>
    <w:rsid w:val="007B6B4D"/>
    <w:pPr>
      <w:outlineLvl w:val="4"/>
    </w:pPr>
  </w:style>
  <w:style w:styleId="berschrift6" w:type="paragraph">
    <w:name w:val="heading 6"/>
    <w:basedOn w:val="Standard"/>
    <w:next w:val="Textkrper"/>
    <w:uiPriority w:val="9"/>
    <w:unhideWhenUsed/>
    <w:qFormat/>
    <w:rsid w:val="00323135"/>
    <w:pPr>
      <w:keepNext/>
      <w:keepLines/>
      <w:spacing w:after="0" w:before="200"/>
      <w:outlineLvl w:val="5"/>
    </w:pPr>
    <w:rPr>
      <w:rFonts w:asciiTheme="majorHAnsi" w:cstheme="majorBidi" w:eastAsiaTheme="majorEastAsia" w:hAnsiTheme="majorHAnsi"/>
      <w:color w:themeColor="accent1" w:val="4F81BD"/>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qFormat/>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styleId="Textkrper" w:type="paragraph">
    <w:name w:val="Body Text"/>
    <w:basedOn w:val="Standard"/>
    <w:qFormat/>
    <w:rsid w:val="00323135"/>
    <w:pPr>
      <w:spacing w:after="180" w:before="180"/>
    </w:pPr>
  </w:style>
  <w:style w:customStyle="1" w:styleId="FirstParagraph" w:type="paragraph">
    <w:name w:val="First Paragraph"/>
    <w:basedOn w:val="Textkrper"/>
    <w:next w:val="Textkrper"/>
    <w:qFormat/>
    <w:rsid w:val="00323135"/>
  </w:style>
  <w:style w:customStyle="1" w:styleId="Compact" w:type="paragraph">
    <w:name w:val="Compact"/>
    <w:basedOn w:val="Textkrper"/>
    <w:qFormat/>
    <w:rsid w:val="00323135"/>
    <w:pPr>
      <w:spacing w:after="36" w:before="36"/>
    </w:pPr>
  </w:style>
  <w:style w:styleId="Titel" w:type="paragraph">
    <w:name w:val="Title"/>
    <w:basedOn w:val="Standard"/>
    <w:next w:val="Textkrper"/>
    <w:qFormat/>
    <w:rsid w:val="00323135"/>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Untertitel" w:type="paragraph">
    <w:name w:val="Subtitle"/>
    <w:basedOn w:val="Titel"/>
    <w:next w:val="Textkrper"/>
    <w:qFormat/>
    <w:rsid w:val="00323135"/>
    <w:pPr>
      <w:spacing w:before="240"/>
    </w:pPr>
    <w:rPr>
      <w:sz w:val="30"/>
      <w:szCs w:val="30"/>
    </w:rPr>
  </w:style>
  <w:style w:customStyle="1" w:styleId="Author" w:type="paragraph">
    <w:name w:val="Author"/>
    <w:next w:val="Textkrper"/>
    <w:qFormat/>
    <w:rsid w:val="00323135"/>
    <w:pPr>
      <w:keepNext/>
      <w:keepLines/>
      <w:jc w:val="center"/>
    </w:pPr>
  </w:style>
  <w:style w:styleId="Datum" w:type="paragraph">
    <w:name w:val="Date"/>
    <w:next w:val="Textkrper"/>
    <w:qFormat/>
    <w:rsid w:val="00323135"/>
    <w:pPr>
      <w:keepNext/>
      <w:keepLines/>
      <w:jc w:val="center"/>
    </w:pPr>
  </w:style>
  <w:style w:customStyle="1" w:styleId="Abstract" w:type="paragraph">
    <w:name w:val="Abstract"/>
    <w:basedOn w:val="Standard"/>
    <w:next w:val="Textkrper"/>
    <w:qFormat/>
    <w:rsid w:val="00323135"/>
    <w:pPr>
      <w:keepNext/>
      <w:keepLines/>
      <w:spacing w:after="300" w:before="300"/>
    </w:pPr>
    <w:rPr>
      <w:sz w:val="20"/>
      <w:szCs w:val="20"/>
    </w:rPr>
  </w:style>
  <w:style w:styleId="Literaturverzeichnis" w:type="paragraph">
    <w:name w:val="Bibliography"/>
    <w:basedOn w:val="Standard"/>
    <w:qFormat/>
    <w:rsid w:val="00323135"/>
  </w:style>
  <w:style w:styleId="Blocktext" w:type="paragraph">
    <w:name w:val="Block Text"/>
    <w:basedOn w:val="Textkrper"/>
    <w:next w:val="Textkrper"/>
    <w:uiPriority w:val="9"/>
    <w:unhideWhenUsed/>
    <w:qFormat/>
    <w:rsid w:val="00323135"/>
    <w:pPr>
      <w:spacing w:after="100" w:before="100"/>
    </w:pPr>
    <w:rPr>
      <w:rFonts w:asciiTheme="majorHAnsi" w:cstheme="majorBidi" w:eastAsiaTheme="majorEastAsia" w:hAnsiTheme="majorHAnsi"/>
      <w:bCs/>
      <w:sz w:val="20"/>
      <w:szCs w:val="20"/>
    </w:rPr>
  </w:style>
  <w:style w:styleId="Funotentext" w:type="paragraph">
    <w:name w:val="footnote text"/>
    <w:basedOn w:val="Standard"/>
    <w:uiPriority w:val="9"/>
    <w:unhideWhenUsed/>
    <w:qFormat/>
    <w:rsid w:val="00323135"/>
  </w:style>
  <w:style w:customStyle="1" w:styleId="DefinitionTerm" w:type="paragraph">
    <w:name w:val="Definition Term"/>
    <w:basedOn w:val="Standard"/>
    <w:next w:val="Definition"/>
    <w:rsid w:val="00323135"/>
    <w:pPr>
      <w:keepNext/>
      <w:keepLines/>
      <w:spacing w:after="0"/>
    </w:pPr>
    <w:rPr>
      <w:b/>
    </w:rPr>
  </w:style>
  <w:style w:customStyle="1" w:styleId="Definition" w:type="paragraph">
    <w:name w:val="Definition"/>
    <w:basedOn w:val="Standard"/>
    <w:rsid w:val="00323135"/>
  </w:style>
  <w:style w:styleId="Beschriftung" w:type="paragraph">
    <w:name w:val="caption"/>
    <w:basedOn w:val="Standard"/>
    <w:link w:val="BeschriftungZchn"/>
    <w:rsid w:val="00323135"/>
    <w:pPr>
      <w:spacing w:after="120"/>
    </w:pPr>
    <w:rPr>
      <w:i/>
    </w:rPr>
  </w:style>
  <w:style w:customStyle="1" w:styleId="TableCaption" w:type="paragraph">
    <w:name w:val="Table Caption"/>
    <w:basedOn w:val="Beschriftung"/>
    <w:rsid w:val="00323135"/>
    <w:pPr>
      <w:keepNext/>
    </w:pPr>
  </w:style>
  <w:style w:customStyle="1" w:styleId="ImageCaption" w:type="paragraph">
    <w:name w:val="Image Caption"/>
    <w:basedOn w:val="Beschriftung"/>
    <w:rsid w:val="00323135"/>
  </w:style>
  <w:style w:customStyle="1" w:styleId="Figure" w:type="paragraph">
    <w:name w:val="Figure"/>
    <w:basedOn w:val="Standard"/>
    <w:rsid w:val="00323135"/>
  </w:style>
  <w:style w:customStyle="1" w:styleId="FigurewithCaption" w:type="paragraph">
    <w:name w:val="Figure with Caption"/>
    <w:basedOn w:val="Figure"/>
    <w:rsid w:val="00323135"/>
    <w:pPr>
      <w:keepNext/>
    </w:pPr>
  </w:style>
  <w:style w:customStyle="1" w:styleId="BeschriftungZchn" w:type="character">
    <w:name w:val="Beschriftung Zchn"/>
    <w:basedOn w:val="Absatz-Standardschriftart"/>
    <w:link w:val="Beschriftung"/>
    <w:rsid w:val="00323135"/>
  </w:style>
  <w:style w:customStyle="1" w:styleId="VerbatimChar" w:type="character">
    <w:name w:val="Verbatim Char"/>
    <w:basedOn w:val="BeschriftungZchn"/>
    <w:link w:val="SourceCode"/>
    <w:rsid w:val="00323135"/>
    <w:rPr>
      <w:rFonts w:ascii="Consolas" w:hAnsi="Consolas"/>
      <w:sz w:val="22"/>
    </w:rPr>
  </w:style>
  <w:style w:styleId="Funotenzeichen" w:type="character">
    <w:name w:val="footnote reference"/>
    <w:basedOn w:val="BeschriftungZchn"/>
    <w:rsid w:val="00323135"/>
    <w:rPr>
      <w:vertAlign w:val="superscript"/>
    </w:rPr>
  </w:style>
  <w:style w:styleId="Hyperlink" w:type="character">
    <w:name w:val="Hyperlink"/>
    <w:basedOn w:val="BeschriftungZchn"/>
    <w:rsid w:val="00323135"/>
    <w:rPr>
      <w:color w:themeColor="accent1" w:val="4F81BD"/>
    </w:rPr>
  </w:style>
  <w:style w:styleId="Inhaltsverzeichnisberschrift" w:type="paragraph">
    <w:name w:val="TOC Heading"/>
    <w:basedOn w:val="berschrift1"/>
    <w:next w:val="Textkrper"/>
    <w:uiPriority w:val="39"/>
    <w:unhideWhenUsed/>
    <w:qFormat/>
    <w:rsid w:val="00323135"/>
    <w:pPr>
      <w:spacing w:before="240" w:line="259" w:lineRule="auto"/>
      <w:outlineLvl w:val="9"/>
    </w:pPr>
    <w:rPr>
      <w:b w:val="0"/>
      <w:bCs w:val="0"/>
      <w:color w:themeColor="accent1" w:themeShade="BF" w:val="365F91"/>
    </w:rPr>
  </w:style>
  <w:style w:customStyle="1" w:styleId="SourceCode" w:type="paragraph">
    <w:name w:val="Source Code"/>
    <w:basedOn w:val="Standard"/>
    <w:link w:val="VerbatimChar"/>
    <w:rsid w:val="00323135"/>
    <w:pPr>
      <w:shd w:color="auto" w:fill="F8F8F8" w:val="clear"/>
      <w:wordWrap w:val="0"/>
    </w:pPr>
  </w:style>
  <w:style w:customStyle="1" w:styleId="KeywordTok" w:type="character">
    <w:name w:val="KeywordTok"/>
    <w:basedOn w:val="VerbatimChar"/>
    <w:rsid w:val="00323135"/>
    <w:rPr>
      <w:rFonts w:ascii="Consolas" w:hAnsi="Consolas"/>
      <w:b/>
      <w:color w:val="204A87"/>
      <w:sz w:val="22"/>
      <w:shd w:color="auto" w:fill="F8F8F8" w:val="clear"/>
    </w:rPr>
  </w:style>
  <w:style w:customStyle="1" w:styleId="DataTypeTok" w:type="character">
    <w:name w:val="DataTypeTok"/>
    <w:basedOn w:val="VerbatimChar"/>
    <w:rsid w:val="00323135"/>
    <w:rPr>
      <w:rFonts w:ascii="Consolas" w:hAnsi="Consolas"/>
      <w:color w:val="204A87"/>
      <w:sz w:val="22"/>
      <w:shd w:color="auto" w:fill="F8F8F8" w:val="clear"/>
    </w:rPr>
  </w:style>
  <w:style w:customStyle="1" w:styleId="DecValTok" w:type="character">
    <w:name w:val="DecValTok"/>
    <w:basedOn w:val="VerbatimChar"/>
    <w:rsid w:val="00323135"/>
    <w:rPr>
      <w:rFonts w:ascii="Consolas" w:hAnsi="Consolas"/>
      <w:color w:val="0000CF"/>
      <w:sz w:val="22"/>
      <w:shd w:color="auto" w:fill="F8F8F8" w:val="clear"/>
    </w:rPr>
  </w:style>
  <w:style w:customStyle="1" w:styleId="BaseNTok" w:type="character">
    <w:name w:val="BaseNTok"/>
    <w:basedOn w:val="VerbatimChar"/>
    <w:rsid w:val="00323135"/>
    <w:rPr>
      <w:rFonts w:ascii="Consolas" w:hAnsi="Consolas"/>
      <w:color w:val="0000CF"/>
      <w:sz w:val="22"/>
      <w:shd w:color="auto" w:fill="F8F8F8" w:val="clear"/>
    </w:rPr>
  </w:style>
  <w:style w:customStyle="1" w:styleId="FloatTok" w:type="character">
    <w:name w:val="FloatTok"/>
    <w:basedOn w:val="VerbatimChar"/>
    <w:rsid w:val="00323135"/>
    <w:rPr>
      <w:rFonts w:ascii="Consolas" w:hAnsi="Consolas"/>
      <w:color w:val="0000CF"/>
      <w:sz w:val="22"/>
      <w:shd w:color="auto" w:fill="F8F8F8" w:val="clear"/>
    </w:rPr>
  </w:style>
  <w:style w:customStyle="1" w:styleId="ConstantTok" w:type="character">
    <w:name w:val="ConstantTok"/>
    <w:basedOn w:val="VerbatimChar"/>
    <w:rsid w:val="00323135"/>
    <w:rPr>
      <w:rFonts w:ascii="Consolas" w:hAnsi="Consolas"/>
      <w:color w:val="000000"/>
      <w:sz w:val="22"/>
      <w:shd w:color="auto" w:fill="F8F8F8" w:val="clear"/>
    </w:rPr>
  </w:style>
  <w:style w:customStyle="1" w:styleId="CharTok" w:type="character">
    <w:name w:val="CharTok"/>
    <w:basedOn w:val="VerbatimChar"/>
    <w:rsid w:val="00323135"/>
    <w:rPr>
      <w:rFonts w:ascii="Consolas" w:hAnsi="Consolas"/>
      <w:color w:val="4E9A06"/>
      <w:sz w:val="22"/>
      <w:shd w:color="auto" w:fill="F8F8F8" w:val="clear"/>
    </w:rPr>
  </w:style>
  <w:style w:customStyle="1" w:styleId="SpecialCharTok" w:type="character">
    <w:name w:val="SpecialCharTok"/>
    <w:basedOn w:val="VerbatimChar"/>
    <w:rsid w:val="00323135"/>
    <w:rPr>
      <w:rFonts w:ascii="Consolas" w:hAnsi="Consolas"/>
      <w:color w:val="000000"/>
      <w:sz w:val="22"/>
      <w:shd w:color="auto" w:fill="F8F8F8" w:val="clear"/>
    </w:rPr>
  </w:style>
  <w:style w:customStyle="1" w:styleId="StringTok" w:type="character">
    <w:name w:val="StringTok"/>
    <w:basedOn w:val="VerbatimChar"/>
    <w:rsid w:val="00323135"/>
    <w:rPr>
      <w:rFonts w:ascii="Consolas" w:hAnsi="Consolas"/>
      <w:color w:val="4E9A06"/>
      <w:sz w:val="22"/>
      <w:shd w:color="auto" w:fill="F8F8F8" w:val="clear"/>
    </w:rPr>
  </w:style>
  <w:style w:customStyle="1" w:styleId="VerbatimStringTok" w:type="character">
    <w:name w:val="VerbatimStringTok"/>
    <w:basedOn w:val="VerbatimChar"/>
    <w:rsid w:val="00323135"/>
    <w:rPr>
      <w:rFonts w:ascii="Consolas" w:hAnsi="Consolas"/>
      <w:color w:val="4E9A06"/>
      <w:sz w:val="22"/>
      <w:shd w:color="auto" w:fill="F8F8F8" w:val="clear"/>
    </w:rPr>
  </w:style>
  <w:style w:customStyle="1" w:styleId="SpecialStringTok" w:type="character">
    <w:name w:val="SpecialStringTok"/>
    <w:basedOn w:val="VerbatimChar"/>
    <w:rsid w:val="00323135"/>
    <w:rPr>
      <w:rFonts w:ascii="Consolas" w:hAnsi="Consolas"/>
      <w:color w:val="4E9A06"/>
      <w:sz w:val="22"/>
      <w:shd w:color="auto" w:fill="F8F8F8" w:val="clear"/>
    </w:rPr>
  </w:style>
  <w:style w:customStyle="1" w:styleId="ImportTok" w:type="character">
    <w:name w:val="ImportTok"/>
    <w:basedOn w:val="VerbatimChar"/>
    <w:rsid w:val="00323135"/>
    <w:rPr>
      <w:rFonts w:ascii="Consolas" w:hAnsi="Consolas"/>
      <w:sz w:val="22"/>
      <w:shd w:color="auto" w:fill="F8F8F8" w:val="clear"/>
    </w:rPr>
  </w:style>
  <w:style w:customStyle="1" w:styleId="CommentTok" w:type="character">
    <w:name w:val="CommentTok"/>
    <w:basedOn w:val="VerbatimChar"/>
    <w:rsid w:val="00323135"/>
    <w:rPr>
      <w:rFonts w:ascii="Consolas" w:hAnsi="Consolas"/>
      <w:i/>
      <w:color w:val="8F5902"/>
      <w:sz w:val="22"/>
      <w:shd w:color="auto" w:fill="F8F8F8" w:val="clear"/>
    </w:rPr>
  </w:style>
  <w:style w:customStyle="1" w:styleId="DocumentationTok" w:type="character">
    <w:name w:val="DocumentationTok"/>
    <w:basedOn w:val="VerbatimChar"/>
    <w:rsid w:val="00323135"/>
    <w:rPr>
      <w:rFonts w:ascii="Consolas" w:hAnsi="Consolas"/>
      <w:b/>
      <w:i/>
      <w:color w:val="8F5902"/>
      <w:sz w:val="22"/>
      <w:shd w:color="auto" w:fill="F8F8F8" w:val="clear"/>
    </w:rPr>
  </w:style>
  <w:style w:customStyle="1" w:styleId="AnnotationTok" w:type="character">
    <w:name w:val="AnnotationTok"/>
    <w:basedOn w:val="VerbatimChar"/>
    <w:rsid w:val="00323135"/>
    <w:rPr>
      <w:rFonts w:ascii="Consolas" w:hAnsi="Consolas"/>
      <w:b/>
      <w:i/>
      <w:color w:val="8F5902"/>
      <w:sz w:val="22"/>
      <w:shd w:color="auto" w:fill="F8F8F8" w:val="clear"/>
    </w:rPr>
  </w:style>
  <w:style w:customStyle="1" w:styleId="CommentVarTok" w:type="character">
    <w:name w:val="CommentVarTok"/>
    <w:basedOn w:val="VerbatimChar"/>
    <w:rsid w:val="00323135"/>
    <w:rPr>
      <w:rFonts w:ascii="Consolas" w:hAnsi="Consolas"/>
      <w:b/>
      <w:i/>
      <w:color w:val="8F5902"/>
      <w:sz w:val="22"/>
      <w:shd w:color="auto" w:fill="F8F8F8" w:val="clear"/>
    </w:rPr>
  </w:style>
  <w:style w:customStyle="1" w:styleId="OtherTok" w:type="character">
    <w:name w:val="OtherTok"/>
    <w:basedOn w:val="VerbatimChar"/>
    <w:rsid w:val="00323135"/>
    <w:rPr>
      <w:rFonts w:ascii="Consolas" w:hAnsi="Consolas"/>
      <w:color w:val="8F5902"/>
      <w:sz w:val="22"/>
      <w:shd w:color="auto" w:fill="F8F8F8" w:val="clear"/>
    </w:rPr>
  </w:style>
  <w:style w:customStyle="1" w:styleId="FunctionTok" w:type="character">
    <w:name w:val="FunctionTok"/>
    <w:basedOn w:val="VerbatimChar"/>
    <w:rsid w:val="00323135"/>
    <w:rPr>
      <w:rFonts w:ascii="Consolas" w:hAnsi="Consolas"/>
      <w:color w:val="000000"/>
      <w:sz w:val="22"/>
      <w:shd w:color="auto" w:fill="F8F8F8" w:val="clear"/>
    </w:rPr>
  </w:style>
  <w:style w:customStyle="1" w:styleId="VariableTok" w:type="character">
    <w:name w:val="VariableTok"/>
    <w:basedOn w:val="VerbatimChar"/>
    <w:rsid w:val="00323135"/>
    <w:rPr>
      <w:rFonts w:ascii="Consolas" w:hAnsi="Consolas"/>
      <w:color w:val="000000"/>
      <w:sz w:val="22"/>
      <w:shd w:color="auto" w:fill="F8F8F8" w:val="clear"/>
    </w:rPr>
  </w:style>
  <w:style w:customStyle="1" w:styleId="ControlFlowTok" w:type="character">
    <w:name w:val="ControlFlowTok"/>
    <w:basedOn w:val="VerbatimChar"/>
    <w:rsid w:val="00323135"/>
    <w:rPr>
      <w:rFonts w:ascii="Consolas" w:hAnsi="Consolas"/>
      <w:b/>
      <w:color w:val="204A87"/>
      <w:sz w:val="22"/>
      <w:shd w:color="auto" w:fill="F8F8F8" w:val="clear"/>
    </w:rPr>
  </w:style>
  <w:style w:customStyle="1" w:styleId="OperatorTok" w:type="character">
    <w:name w:val="OperatorTok"/>
    <w:basedOn w:val="VerbatimChar"/>
    <w:rsid w:val="00323135"/>
    <w:rPr>
      <w:rFonts w:ascii="Consolas" w:hAnsi="Consolas"/>
      <w:b/>
      <w:color w:val="CE5C00"/>
      <w:sz w:val="22"/>
      <w:shd w:color="auto" w:fill="F8F8F8" w:val="clear"/>
    </w:rPr>
  </w:style>
  <w:style w:customStyle="1" w:styleId="BuiltInTok" w:type="character">
    <w:name w:val="BuiltInTok"/>
    <w:basedOn w:val="VerbatimChar"/>
    <w:rsid w:val="00323135"/>
    <w:rPr>
      <w:rFonts w:ascii="Consolas" w:hAnsi="Consolas"/>
      <w:sz w:val="22"/>
      <w:shd w:color="auto" w:fill="F8F8F8" w:val="clear"/>
    </w:rPr>
  </w:style>
  <w:style w:customStyle="1" w:styleId="ExtensionTok" w:type="character">
    <w:name w:val="ExtensionTok"/>
    <w:basedOn w:val="VerbatimChar"/>
    <w:rsid w:val="00323135"/>
    <w:rPr>
      <w:rFonts w:ascii="Consolas" w:hAnsi="Consolas"/>
      <w:sz w:val="22"/>
      <w:shd w:color="auto" w:fill="F8F8F8" w:val="clear"/>
    </w:rPr>
  </w:style>
  <w:style w:customStyle="1" w:styleId="PreprocessorTok" w:type="character">
    <w:name w:val="PreprocessorTok"/>
    <w:basedOn w:val="VerbatimChar"/>
    <w:rsid w:val="00323135"/>
    <w:rPr>
      <w:rFonts w:ascii="Consolas" w:hAnsi="Consolas"/>
      <w:i/>
      <w:color w:val="8F5902"/>
      <w:sz w:val="22"/>
      <w:shd w:color="auto" w:fill="F8F8F8" w:val="clear"/>
    </w:rPr>
  </w:style>
  <w:style w:customStyle="1" w:styleId="AttributeTok" w:type="character">
    <w:name w:val="AttributeTok"/>
    <w:basedOn w:val="VerbatimChar"/>
    <w:rsid w:val="00323135"/>
    <w:rPr>
      <w:rFonts w:ascii="Consolas" w:hAnsi="Consolas"/>
      <w:color w:val="C4A000"/>
      <w:sz w:val="22"/>
      <w:shd w:color="auto" w:fill="F8F8F8" w:val="clear"/>
    </w:rPr>
  </w:style>
  <w:style w:customStyle="1" w:styleId="RegionMarkerTok" w:type="character">
    <w:name w:val="RegionMarkerTok"/>
    <w:basedOn w:val="VerbatimChar"/>
    <w:rsid w:val="00323135"/>
    <w:rPr>
      <w:rFonts w:ascii="Consolas" w:hAnsi="Consolas"/>
      <w:sz w:val="22"/>
      <w:shd w:color="auto" w:fill="F8F8F8" w:val="clear"/>
    </w:rPr>
  </w:style>
  <w:style w:customStyle="1" w:styleId="InformationTok" w:type="character">
    <w:name w:val="InformationTok"/>
    <w:basedOn w:val="VerbatimChar"/>
    <w:rsid w:val="00323135"/>
    <w:rPr>
      <w:rFonts w:ascii="Consolas" w:hAnsi="Consolas"/>
      <w:b/>
      <w:i/>
      <w:color w:val="8F5902"/>
      <w:sz w:val="22"/>
      <w:shd w:color="auto" w:fill="F8F8F8" w:val="clear"/>
    </w:rPr>
  </w:style>
  <w:style w:customStyle="1" w:styleId="WarningTok" w:type="character">
    <w:name w:val="WarningTok"/>
    <w:basedOn w:val="VerbatimChar"/>
    <w:rsid w:val="00323135"/>
    <w:rPr>
      <w:rFonts w:ascii="Consolas" w:hAnsi="Consolas"/>
      <w:b/>
      <w:i/>
      <w:color w:val="8F5902"/>
      <w:sz w:val="22"/>
      <w:shd w:color="auto" w:fill="F8F8F8" w:val="clear"/>
    </w:rPr>
  </w:style>
  <w:style w:customStyle="1" w:styleId="AlertTok" w:type="character">
    <w:name w:val="AlertTok"/>
    <w:basedOn w:val="VerbatimChar"/>
    <w:rsid w:val="00323135"/>
    <w:rPr>
      <w:rFonts w:ascii="Consolas" w:hAnsi="Consolas"/>
      <w:color w:val="EF2929"/>
      <w:sz w:val="22"/>
      <w:shd w:color="auto" w:fill="F8F8F8" w:val="clear"/>
    </w:rPr>
  </w:style>
  <w:style w:customStyle="1" w:styleId="ErrorTok" w:type="character">
    <w:name w:val="ErrorTok"/>
    <w:basedOn w:val="VerbatimChar"/>
    <w:rsid w:val="00323135"/>
    <w:rPr>
      <w:rFonts w:ascii="Consolas" w:hAnsi="Consolas"/>
      <w:b/>
      <w:color w:val="A40000"/>
      <w:sz w:val="22"/>
      <w:shd w:color="auto" w:fill="F8F8F8" w:val="clear"/>
    </w:rPr>
  </w:style>
  <w:style w:customStyle="1" w:styleId="NormalTok" w:type="character">
    <w:name w:val="NormalTok"/>
    <w:basedOn w:val="VerbatimChar"/>
    <w:rsid w:val="00323135"/>
    <w:rPr>
      <w:rFonts w:ascii="Consolas" w:hAnsi="Consolas"/>
      <w:sz w:val="22"/>
      <w:shd w:color="auto" w:fill="F8F8F8" w:val="clear"/>
    </w:rPr>
  </w:style>
  <w:style w:styleId="Zeilennummer" w:type="character">
    <w:name w:val="line number"/>
    <w:basedOn w:val="Absatz-Standardschriftart"/>
    <w:rsid w:val="00014752"/>
  </w:style>
  <w:style w:styleId="Kopfzeile" w:type="paragraph">
    <w:name w:val="header"/>
    <w:basedOn w:val="Standard"/>
    <w:link w:val="KopfzeileZchn"/>
    <w:semiHidden/>
    <w:unhideWhenUsed/>
    <w:rsid w:val="007B6B4D"/>
    <w:pPr>
      <w:tabs>
        <w:tab w:pos="4513" w:val="center"/>
        <w:tab w:pos="9026" w:val="right"/>
      </w:tabs>
      <w:spacing w:after="0"/>
    </w:pPr>
  </w:style>
  <w:style w:customStyle="1" w:styleId="KopfzeileZchn" w:type="character">
    <w:name w:val="Kopfzeile Zchn"/>
    <w:basedOn w:val="Absatz-Standardschriftart"/>
    <w:link w:val="Kopfzeile"/>
    <w:semiHidden/>
    <w:rsid w:val="007B6B4D"/>
  </w:style>
  <w:style w:styleId="Fuzeile" w:type="paragraph">
    <w:name w:val="footer"/>
    <w:basedOn w:val="Standard"/>
    <w:link w:val="FuzeileZchn"/>
    <w:uiPriority w:val="99"/>
    <w:unhideWhenUsed/>
    <w:rsid w:val="007B6B4D"/>
    <w:pPr>
      <w:tabs>
        <w:tab w:pos="4513" w:val="center"/>
        <w:tab w:pos="9026" w:val="right"/>
      </w:tabs>
      <w:spacing w:after="0"/>
    </w:pPr>
  </w:style>
  <w:style w:customStyle="1" w:styleId="FuzeileZchn" w:type="character">
    <w:name w:val="Fußzeile Zchn"/>
    <w:basedOn w:val="Absatz-Standardschriftart"/>
    <w:link w:val="Fuzeile"/>
    <w:uiPriority w:val="99"/>
    <w:rsid w:val="007B6B4D"/>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image" Id="rId69" Target="media/rId69.tiff" /><Relationship Type="http://schemas.openxmlformats.org/officeDocument/2006/relationships/image" Id="rId50" Target="media/rId50.png" /><Relationship Type="http://schemas.openxmlformats.org/officeDocument/2006/relationships/image" Id="rId46" Target="media/rId46.png" /><Relationship Type="http://schemas.openxmlformats.org/officeDocument/2006/relationships/image" Id="rId74" Target="media/rId74.png" /><Relationship Type="http://schemas.openxmlformats.org/officeDocument/2006/relationships/hyperlink" Id="rId145" Target="http://digital.library.wisc.edu/1793/92990" TargetMode="External" /><Relationship Type="http://schemas.openxmlformats.org/officeDocument/2006/relationships/hyperlink" Id="rId256" Target="http://www.stat.boogaart.de/compositions/" TargetMode="External" /><Relationship Type="http://schemas.openxmlformats.org/officeDocument/2006/relationships/hyperlink" Id="rId242" Target="https://archaeothommy.github.io/ASTR/" TargetMode="External" /><Relationship Type="http://schemas.openxmlformats.org/officeDocument/2006/relationships/hyperlink" Id="rId267" Target="https://bookdown.org/yihui/rmarkdown" TargetMode="External" /><Relationship Type="http://schemas.openxmlformats.org/officeDocument/2006/relationships/hyperlink" Id="rId269" Target="https://bookdown.org/yihui/rmarkdown-cookbook" TargetMode="External" /><Relationship Type="http://schemas.openxmlformats.org/officeDocument/2006/relationships/hyperlink" Id="rId137" Target="https://docs.ropensci.org/rcrossref/" TargetMode="External" /><Relationship Type="http://schemas.openxmlformats.org/officeDocument/2006/relationships/hyperlink" Id="rId153" Target="https://doi.org/10.1002/asi.23480" TargetMode="External" /><Relationship Type="http://schemas.openxmlformats.org/officeDocument/2006/relationships/hyperlink" Id="rId240" Target="https://doi.org/10.1002/rcm.8044" TargetMode="External" /><Relationship Type="http://schemas.openxmlformats.org/officeDocument/2006/relationships/hyperlink" Id="rId121" Target="https://doi.org/10.1002/sta4.332" TargetMode="External" /><Relationship Type="http://schemas.openxmlformats.org/officeDocument/2006/relationships/hyperlink" Id="rId216" Target="https://doi.org/10.1007/s10516-021-09610-2" TargetMode="External" /><Relationship Type="http://schemas.openxmlformats.org/officeDocument/2006/relationships/hyperlink" Id="rId201" Target="https://doi.org/10.1007/s10816-015-9272-9" TargetMode="External" /><Relationship Type="http://schemas.openxmlformats.org/officeDocument/2006/relationships/hyperlink" Id="rId222" Target="https://doi.org/10.1007/s10827-018-0702-z" TargetMode="External" /><Relationship Type="http://schemas.openxmlformats.org/officeDocument/2006/relationships/hyperlink" Id="rId197" Target="https://doi.org/10.1016/j.aia.2023.100027" TargetMode="External" /><Relationship Type="http://schemas.openxmlformats.org/officeDocument/2006/relationships/hyperlink" Id="rId181" Target="https://doi.org/10.1016/j.bpsgos.2023.08.007" TargetMode="External" /><Relationship Type="http://schemas.openxmlformats.org/officeDocument/2006/relationships/hyperlink" Id="rId143" Target="https://doi.org/10.1016/j.chemgeo.2003.08.003" TargetMode="External" /><Relationship Type="http://schemas.openxmlformats.org/officeDocument/2006/relationships/hyperlink" Id="rId220" Target="https://doi.org/10.1016/j.cortex.2020.04.019" TargetMode="External" /><Relationship Type="http://schemas.openxmlformats.org/officeDocument/2006/relationships/hyperlink" Id="rId189" Target="https://doi.org/10.1016/j.gca.2023.04.024" TargetMode="External" /><Relationship Type="http://schemas.openxmlformats.org/officeDocument/2006/relationships/hyperlink" Id="rId161" Target="https://doi.org/10.1016/j.jas.2009.10.004" TargetMode="External" /><Relationship Type="http://schemas.openxmlformats.org/officeDocument/2006/relationships/hyperlink" Id="rId203" Target="https://doi.org/10.1016/j.jas.2025.106281" TargetMode="External" /><Relationship Type="http://schemas.openxmlformats.org/officeDocument/2006/relationships/hyperlink" Id="rId139" Target="https://doi.org/10.1016/j.jas.2025.106295" TargetMode="External" /><Relationship Type="http://schemas.openxmlformats.org/officeDocument/2006/relationships/hyperlink" Id="rId149" Target="https://doi.org/10.1016/j.jas.2025.106338" TargetMode="External" /><Relationship Type="http://schemas.openxmlformats.org/officeDocument/2006/relationships/hyperlink" Id="rId195" Target="https://doi.org/10.1016/j.jas.2025.106432" TargetMode="External" /><Relationship Type="http://schemas.openxmlformats.org/officeDocument/2006/relationships/hyperlink" Id="rId224" Target="https://doi.org/10.1016/j.jasrep.2021.103188" TargetMode="External" /><Relationship Type="http://schemas.openxmlformats.org/officeDocument/2006/relationships/hyperlink" Id="rId183" Target="https://doi.org/10.1016/j.jasrep.2022.103788" TargetMode="External" /><Relationship Type="http://schemas.openxmlformats.org/officeDocument/2006/relationships/hyperlink" Id="rId254" Target="https://doi.org/10.1016/j.jasrep.2024.104910" TargetMode="External" /><Relationship Type="http://schemas.openxmlformats.org/officeDocument/2006/relationships/hyperlink" Id="rId117" Target="https://doi.org/10.1017/RDC.2019.55" TargetMode="External" /><Relationship Type="http://schemas.openxmlformats.org/officeDocument/2006/relationships/hyperlink" Id="rId173" Target="https://doi.org/10.1017/aap.2018.1" TargetMode="External" /><Relationship Type="http://schemas.openxmlformats.org/officeDocument/2006/relationships/hyperlink" Id="rId206" Target="https://doi.org/10.1017/aap.2018.3" TargetMode="External" /><Relationship Type="http://schemas.openxmlformats.org/officeDocument/2006/relationships/hyperlink" Id="rId228" Target="https://doi.org/10.1017/aap.2022.40" TargetMode="External" /><Relationship Type="http://schemas.openxmlformats.org/officeDocument/2006/relationships/hyperlink" Id="rId169" Target="https://doi.org/10.1017/aap.2022.41" TargetMode="External" /><Relationship Type="http://schemas.openxmlformats.org/officeDocument/2006/relationships/hyperlink" Id="rId107" Target="https://doi.org/10.1017/aap.2023.38" TargetMode="External" /><Relationship Type="http://schemas.openxmlformats.org/officeDocument/2006/relationships/hyperlink" Id="rId175" Target="https://doi.org/10.1017/aap.2024.6" TargetMode="External" /><Relationship Type="http://schemas.openxmlformats.org/officeDocument/2006/relationships/hyperlink" Id="rId251" Target="https://doi.org/10.1029/2002GC000314" TargetMode="External" /><Relationship Type="http://schemas.openxmlformats.org/officeDocument/2006/relationships/hyperlink" Id="rId147" Target="https://doi.org/10.1038/s41386-024-01973-5" TargetMode="External" /><Relationship Type="http://schemas.openxmlformats.org/officeDocument/2006/relationships/hyperlink" Id="rId112" Target="https://doi.org/10.1038/s41597-022-01710-x" TargetMode="External" /><Relationship Type="http://schemas.openxmlformats.org/officeDocument/2006/relationships/hyperlink" Id="rId135" Target="https://doi.org/10.1038/s43017-021-00237-w" TargetMode="External" /><Relationship Type="http://schemas.openxmlformats.org/officeDocument/2006/relationships/hyperlink" Id="rId244" Target="https://doi.org/10.1038/s44271-025-00236-3" TargetMode="External" /><Relationship Type="http://schemas.openxmlformats.org/officeDocument/2006/relationships/hyperlink" Id="rId262" Target="https://doi.org/10.1038/sdata.2016.18" TargetMode="External" /><Relationship Type="http://schemas.openxmlformats.org/officeDocument/2006/relationships/hyperlink" Id="rId234" Target="https://doi.org/10.1046/j.1475-4754.2003.00130.x" TargetMode="External" /><Relationship Type="http://schemas.openxmlformats.org/officeDocument/2006/relationships/hyperlink" Id="rId177" Target="https://doi.org/10.1073/pnas.2109313118" TargetMode="External" /><Relationship Type="http://schemas.openxmlformats.org/officeDocument/2006/relationships/hyperlink" Id="rId208" Target="https://doi.org/10.1080/00031305.2017.1375986" TargetMode="External" /><Relationship Type="http://schemas.openxmlformats.org/officeDocument/2006/relationships/hyperlink" Id="rId249" Target="https://doi.org/10.1080/01639269.2015.1096155" TargetMode="External" /><Relationship Type="http://schemas.openxmlformats.org/officeDocument/2006/relationships/hyperlink" Id="rId115" Target="https://doi.org/10.1080/02664769822891" TargetMode="External" /><Relationship Type="http://schemas.openxmlformats.org/officeDocument/2006/relationships/hyperlink" Id="rId193" Target="https://doi.org/10.1080/13658816.2018.1508687" TargetMode="External" /><Relationship Type="http://schemas.openxmlformats.org/officeDocument/2006/relationships/hyperlink" Id="rId163" Target="https://doi.org/10.1086/adx.29.1.27949541" TargetMode="External" /><Relationship Type="http://schemas.openxmlformats.org/officeDocument/2006/relationships/hyperlink" Id="rId127" Target="https://doi.org/10.1093/gigascience/giaa056" TargetMode="External" /><Relationship Type="http://schemas.openxmlformats.org/officeDocument/2006/relationships/hyperlink" Id="rId246" Target="https://doi.org/10.1093/gigascience/giad113" TargetMode="External" /><Relationship Type="http://schemas.openxmlformats.org/officeDocument/2006/relationships/hyperlink" Id="rId129" Target="https://doi.org/10.1093/gji/ggz246" TargetMode="External" /><Relationship Type="http://schemas.openxmlformats.org/officeDocument/2006/relationships/hyperlink" Id="rId185" Target="https://doi.org/10.1101/2022.04.07.487439" TargetMode="External" /><Relationship Type="http://schemas.openxmlformats.org/officeDocument/2006/relationships/hyperlink" Id="rId191" Target="https://doi.org/10.1101/866301" TargetMode="External" /><Relationship Type="http://schemas.openxmlformats.org/officeDocument/2006/relationships/hyperlink" Id="rId167" Target="https://doi.org/10.1111/arcm.12282" TargetMode="External" /><Relationship Type="http://schemas.openxmlformats.org/officeDocument/2006/relationships/hyperlink" Id="rId171" Target="https://doi.org/10.1111/arcm.12347" TargetMode="External" /><Relationship Type="http://schemas.openxmlformats.org/officeDocument/2006/relationships/hyperlink" Id="rId165" Target="https://doi.org/10.1111/arcm.12488" TargetMode="External" /><Relationship Type="http://schemas.openxmlformats.org/officeDocument/2006/relationships/hyperlink" Id="rId199" Target="https://doi.org/10.1111/j.1475-4754.2010.00585.x" TargetMode="External" /><Relationship Type="http://schemas.openxmlformats.org/officeDocument/2006/relationships/hyperlink" Id="rId157" Target="https://doi.org/10.1111/nyas.13325" TargetMode="External" /><Relationship Type="http://schemas.openxmlformats.org/officeDocument/2006/relationships/hyperlink" Id="rId131" Target="https://doi.org/10.1126/science.aaf0918" TargetMode="External" /><Relationship Type="http://schemas.openxmlformats.org/officeDocument/2006/relationships/hyperlink" Id="rId105" Target="https://doi.org/10.1140/epjp/s13360-025-06473-z" TargetMode="External" /><Relationship Type="http://schemas.openxmlformats.org/officeDocument/2006/relationships/hyperlink" Id="rId151" Target="https://doi.org/10.1145/2467696.2467712" TargetMode="External" /><Relationship Type="http://schemas.openxmlformats.org/officeDocument/2006/relationships/hyperlink" Id="rId218" Target="https://doi.org/10.11588/AI.2015.1.26162" TargetMode="External" /><Relationship Type="http://schemas.openxmlformats.org/officeDocument/2006/relationships/hyperlink" Id="rId119" Target="https://doi.org/10.1161/CIRCRESAHA.114.303819" TargetMode="External" /><Relationship Type="http://schemas.openxmlformats.org/officeDocument/2006/relationships/hyperlink" Id="rId155" Target="https://doi.org/10.1287/mnsc.2023.03556" TargetMode="External" /><Relationship Type="http://schemas.openxmlformats.org/officeDocument/2006/relationships/hyperlink" Id="rId99" Target="https://doi.org/10.1371/journal.pbio.3002815" TargetMode="External" /><Relationship Type="http://schemas.openxmlformats.org/officeDocument/2006/relationships/hyperlink" Id="rId230" Target="https://doi.org/10.1371/journal.pcbi.1008316" TargetMode="External" /><Relationship Type="http://schemas.openxmlformats.org/officeDocument/2006/relationships/hyperlink" Id="rId123" Target="https://doi.org/10.1371/journal.pone.0297931" TargetMode="External" /><Relationship Type="http://schemas.openxmlformats.org/officeDocument/2006/relationships/hyperlink" Id="rId179" Target="https://doi.org/10.14237/ebl.6.2.2015.467" TargetMode="External" /><Relationship Type="http://schemas.openxmlformats.org/officeDocument/2006/relationships/hyperlink" Id="rId187" Target="https://doi.org/10.1523/ENEURO.0215-22.2023" TargetMode="External" /><Relationship Type="http://schemas.openxmlformats.org/officeDocument/2006/relationships/hyperlink" Id="rId159" Target="https://doi.org/10.1594/IEDA/100426" TargetMode="External" /><Relationship Type="http://schemas.openxmlformats.org/officeDocument/2006/relationships/hyperlink" Id="rId141" Target="https://doi.org/10.2218/ijdc.v11i1.401" TargetMode="External" /><Relationship Type="http://schemas.openxmlformats.org/officeDocument/2006/relationships/hyperlink" Id="rId258" Target="https://doi.org/10.25919/0E5M-Q876" TargetMode="External" /><Relationship Type="http://schemas.openxmlformats.org/officeDocument/2006/relationships/hyperlink" Id="rId133" Target="https://doi.org/10.26186/149408" TargetMode="External" /><Relationship Type="http://schemas.openxmlformats.org/officeDocument/2006/relationships/hyperlink" Id="rId125" Target="https://doi.org/10.32614/CRAN.package.workflowr" TargetMode="External" /><Relationship Type="http://schemas.openxmlformats.org/officeDocument/2006/relationships/hyperlink" Id="rId232" Target="https://doi.org/10.3389/fninf.2017.00076" TargetMode="External" /><Relationship Type="http://schemas.openxmlformats.org/officeDocument/2006/relationships/hyperlink" Id="rId226" Target="https://doi.org/10.3389/fninf.2018.00018" TargetMode="External" /><Relationship Type="http://schemas.openxmlformats.org/officeDocument/2006/relationships/hyperlink" Id="rId110" Target="https://doi.org/10.48550/arXiv.1802.03311" TargetMode="External" /><Relationship Type="http://schemas.openxmlformats.org/officeDocument/2006/relationships/hyperlink" Id="rId214" Target="https://doi.org/10.52294/001c.143700" TargetMode="External" /><Relationship Type="http://schemas.openxmlformats.org/officeDocument/2006/relationships/hyperlink" Id="rId103" Target="https://doi.org/10.5281/zenodo.5960048" TargetMode="External" /><Relationship Type="http://schemas.openxmlformats.org/officeDocument/2006/relationships/hyperlink" Id="rId101" Target="https://doi.org/10.5465/annals.2016.0011" TargetMode="External" /><Relationship Type="http://schemas.openxmlformats.org/officeDocument/2006/relationships/hyperlink" Id="rId210" Target="https://doi.org/10.64628/AAI.6vrtn4uw3" TargetMode="External" /><Relationship Type="http://schemas.openxmlformats.org/officeDocument/2006/relationships/hyperlink" Id="rId260" Target="https://ggplot2.tidyverse.org" TargetMode="External" /><Relationship Type="http://schemas.openxmlformats.org/officeDocument/2006/relationships/hyperlink" Id="rId94" Target="https://github.com/archaeothommy/ReproducibilityArchaeometallurgy" TargetMode="External" /><Relationship Type="http://schemas.openxmlformats.org/officeDocument/2006/relationships/hyperlink" Id="rId212" Target="https://github.com/benmarwick/rrtools" TargetMode="External" /><Relationship Type="http://schemas.openxmlformats.org/officeDocument/2006/relationships/hyperlink" Id="rId236" Target="https://www.R-project.org/" TargetMode="External" /><Relationship Type="http://schemas.openxmlformats.org/officeDocument/2006/relationships/hyperlink" Id="rId238" Target="https://www.archcalc.cnr.it/journal/articles/501" TargetMode="External" /><Relationship Type="http://schemas.openxmlformats.org/officeDocument/2006/relationships/hyperlink" Id="rId83" Target="https://www.protocols.io/" TargetMode="External" /><Relationship Type="http://schemas.openxmlformats.org/officeDocument/2006/relationships/hyperlink" Id="rId264" Target="https://yihui.org/knitr/" TargetMode="External" /></Relationships>
</file>

<file path=word/_rels/footnotes.xml.rels><?xml version="1.0" encoding="UTF-8"?><Relationships xmlns="http://schemas.openxmlformats.org/package/2006/relationships"><Relationship Type="http://schemas.openxmlformats.org/officeDocument/2006/relationships/hyperlink" Id="rId145" Target="http://digital.library.wisc.edu/1793/92990" TargetMode="External" /><Relationship Type="http://schemas.openxmlformats.org/officeDocument/2006/relationships/hyperlink" Id="rId256" Target="http://www.stat.boogaart.de/compositions/" TargetMode="External" /><Relationship Type="http://schemas.openxmlformats.org/officeDocument/2006/relationships/hyperlink" Id="rId242" Target="https://archaeothommy.github.io/ASTR/" TargetMode="External" /><Relationship Type="http://schemas.openxmlformats.org/officeDocument/2006/relationships/hyperlink" Id="rId267" Target="https://bookdown.org/yihui/rmarkdown" TargetMode="External" /><Relationship Type="http://schemas.openxmlformats.org/officeDocument/2006/relationships/hyperlink" Id="rId269" Target="https://bookdown.org/yihui/rmarkdown-cookbook" TargetMode="External" /><Relationship Type="http://schemas.openxmlformats.org/officeDocument/2006/relationships/hyperlink" Id="rId137" Target="https://docs.ropensci.org/rcrossref/" TargetMode="External" /><Relationship Type="http://schemas.openxmlformats.org/officeDocument/2006/relationships/hyperlink" Id="rId153" Target="https://doi.org/10.1002/asi.23480" TargetMode="External" /><Relationship Type="http://schemas.openxmlformats.org/officeDocument/2006/relationships/hyperlink" Id="rId240" Target="https://doi.org/10.1002/rcm.8044" TargetMode="External" /><Relationship Type="http://schemas.openxmlformats.org/officeDocument/2006/relationships/hyperlink" Id="rId121" Target="https://doi.org/10.1002/sta4.332" TargetMode="External" /><Relationship Type="http://schemas.openxmlformats.org/officeDocument/2006/relationships/hyperlink" Id="rId216" Target="https://doi.org/10.1007/s10516-021-09610-2" TargetMode="External" /><Relationship Type="http://schemas.openxmlformats.org/officeDocument/2006/relationships/hyperlink" Id="rId201" Target="https://doi.org/10.1007/s10816-015-9272-9" TargetMode="External" /><Relationship Type="http://schemas.openxmlformats.org/officeDocument/2006/relationships/hyperlink" Id="rId222" Target="https://doi.org/10.1007/s10827-018-0702-z" TargetMode="External" /><Relationship Type="http://schemas.openxmlformats.org/officeDocument/2006/relationships/hyperlink" Id="rId197" Target="https://doi.org/10.1016/j.aia.2023.100027" TargetMode="External" /><Relationship Type="http://schemas.openxmlformats.org/officeDocument/2006/relationships/hyperlink" Id="rId181" Target="https://doi.org/10.1016/j.bpsgos.2023.08.007" TargetMode="External" /><Relationship Type="http://schemas.openxmlformats.org/officeDocument/2006/relationships/hyperlink" Id="rId143" Target="https://doi.org/10.1016/j.chemgeo.2003.08.003" TargetMode="External" /><Relationship Type="http://schemas.openxmlformats.org/officeDocument/2006/relationships/hyperlink" Id="rId220" Target="https://doi.org/10.1016/j.cortex.2020.04.019" TargetMode="External" /><Relationship Type="http://schemas.openxmlformats.org/officeDocument/2006/relationships/hyperlink" Id="rId189" Target="https://doi.org/10.1016/j.gca.2023.04.024" TargetMode="External" /><Relationship Type="http://schemas.openxmlformats.org/officeDocument/2006/relationships/hyperlink" Id="rId161" Target="https://doi.org/10.1016/j.jas.2009.10.004" TargetMode="External" /><Relationship Type="http://schemas.openxmlformats.org/officeDocument/2006/relationships/hyperlink" Id="rId203" Target="https://doi.org/10.1016/j.jas.2025.106281" TargetMode="External" /><Relationship Type="http://schemas.openxmlformats.org/officeDocument/2006/relationships/hyperlink" Id="rId139" Target="https://doi.org/10.1016/j.jas.2025.106295" TargetMode="External" /><Relationship Type="http://schemas.openxmlformats.org/officeDocument/2006/relationships/hyperlink" Id="rId149" Target="https://doi.org/10.1016/j.jas.2025.106338" TargetMode="External" /><Relationship Type="http://schemas.openxmlformats.org/officeDocument/2006/relationships/hyperlink" Id="rId195" Target="https://doi.org/10.1016/j.jas.2025.106432" TargetMode="External" /><Relationship Type="http://schemas.openxmlformats.org/officeDocument/2006/relationships/hyperlink" Id="rId224" Target="https://doi.org/10.1016/j.jasrep.2021.103188" TargetMode="External" /><Relationship Type="http://schemas.openxmlformats.org/officeDocument/2006/relationships/hyperlink" Id="rId183" Target="https://doi.org/10.1016/j.jasrep.2022.103788" TargetMode="External" /><Relationship Type="http://schemas.openxmlformats.org/officeDocument/2006/relationships/hyperlink" Id="rId254" Target="https://doi.org/10.1016/j.jasrep.2024.104910" TargetMode="External" /><Relationship Type="http://schemas.openxmlformats.org/officeDocument/2006/relationships/hyperlink" Id="rId117" Target="https://doi.org/10.1017/RDC.2019.55" TargetMode="External" /><Relationship Type="http://schemas.openxmlformats.org/officeDocument/2006/relationships/hyperlink" Id="rId173" Target="https://doi.org/10.1017/aap.2018.1" TargetMode="External" /><Relationship Type="http://schemas.openxmlformats.org/officeDocument/2006/relationships/hyperlink" Id="rId206" Target="https://doi.org/10.1017/aap.2018.3" TargetMode="External" /><Relationship Type="http://schemas.openxmlformats.org/officeDocument/2006/relationships/hyperlink" Id="rId228" Target="https://doi.org/10.1017/aap.2022.40" TargetMode="External" /><Relationship Type="http://schemas.openxmlformats.org/officeDocument/2006/relationships/hyperlink" Id="rId169" Target="https://doi.org/10.1017/aap.2022.41" TargetMode="External" /><Relationship Type="http://schemas.openxmlformats.org/officeDocument/2006/relationships/hyperlink" Id="rId107" Target="https://doi.org/10.1017/aap.2023.38" TargetMode="External" /><Relationship Type="http://schemas.openxmlformats.org/officeDocument/2006/relationships/hyperlink" Id="rId175" Target="https://doi.org/10.1017/aap.2024.6" TargetMode="External" /><Relationship Type="http://schemas.openxmlformats.org/officeDocument/2006/relationships/hyperlink" Id="rId251" Target="https://doi.org/10.1029/2002GC000314" TargetMode="External" /><Relationship Type="http://schemas.openxmlformats.org/officeDocument/2006/relationships/hyperlink" Id="rId147" Target="https://doi.org/10.1038/s41386-024-01973-5" TargetMode="External" /><Relationship Type="http://schemas.openxmlformats.org/officeDocument/2006/relationships/hyperlink" Id="rId112" Target="https://doi.org/10.1038/s41597-022-01710-x" TargetMode="External" /><Relationship Type="http://schemas.openxmlformats.org/officeDocument/2006/relationships/hyperlink" Id="rId135" Target="https://doi.org/10.1038/s43017-021-00237-w" TargetMode="External" /><Relationship Type="http://schemas.openxmlformats.org/officeDocument/2006/relationships/hyperlink" Id="rId244" Target="https://doi.org/10.1038/s44271-025-00236-3" TargetMode="External" /><Relationship Type="http://schemas.openxmlformats.org/officeDocument/2006/relationships/hyperlink" Id="rId262" Target="https://doi.org/10.1038/sdata.2016.18" TargetMode="External" /><Relationship Type="http://schemas.openxmlformats.org/officeDocument/2006/relationships/hyperlink" Id="rId234" Target="https://doi.org/10.1046/j.1475-4754.2003.00130.x" TargetMode="External" /><Relationship Type="http://schemas.openxmlformats.org/officeDocument/2006/relationships/hyperlink" Id="rId177" Target="https://doi.org/10.1073/pnas.2109313118" TargetMode="External" /><Relationship Type="http://schemas.openxmlformats.org/officeDocument/2006/relationships/hyperlink" Id="rId208" Target="https://doi.org/10.1080/00031305.2017.1375986" TargetMode="External" /><Relationship Type="http://schemas.openxmlformats.org/officeDocument/2006/relationships/hyperlink" Id="rId249" Target="https://doi.org/10.1080/01639269.2015.1096155" TargetMode="External" /><Relationship Type="http://schemas.openxmlformats.org/officeDocument/2006/relationships/hyperlink" Id="rId115" Target="https://doi.org/10.1080/02664769822891" TargetMode="External" /><Relationship Type="http://schemas.openxmlformats.org/officeDocument/2006/relationships/hyperlink" Id="rId193" Target="https://doi.org/10.1080/13658816.2018.1508687" TargetMode="External" /><Relationship Type="http://schemas.openxmlformats.org/officeDocument/2006/relationships/hyperlink" Id="rId163" Target="https://doi.org/10.1086/adx.29.1.27949541" TargetMode="External" /><Relationship Type="http://schemas.openxmlformats.org/officeDocument/2006/relationships/hyperlink" Id="rId127" Target="https://doi.org/10.1093/gigascience/giaa056" TargetMode="External" /><Relationship Type="http://schemas.openxmlformats.org/officeDocument/2006/relationships/hyperlink" Id="rId246" Target="https://doi.org/10.1093/gigascience/giad113" TargetMode="External" /><Relationship Type="http://schemas.openxmlformats.org/officeDocument/2006/relationships/hyperlink" Id="rId129" Target="https://doi.org/10.1093/gji/ggz246" TargetMode="External" /><Relationship Type="http://schemas.openxmlformats.org/officeDocument/2006/relationships/hyperlink" Id="rId185" Target="https://doi.org/10.1101/2022.04.07.487439" TargetMode="External" /><Relationship Type="http://schemas.openxmlformats.org/officeDocument/2006/relationships/hyperlink" Id="rId191" Target="https://doi.org/10.1101/866301" TargetMode="External" /><Relationship Type="http://schemas.openxmlformats.org/officeDocument/2006/relationships/hyperlink" Id="rId167" Target="https://doi.org/10.1111/arcm.12282" TargetMode="External" /><Relationship Type="http://schemas.openxmlformats.org/officeDocument/2006/relationships/hyperlink" Id="rId171" Target="https://doi.org/10.1111/arcm.12347" TargetMode="External" /><Relationship Type="http://schemas.openxmlformats.org/officeDocument/2006/relationships/hyperlink" Id="rId165" Target="https://doi.org/10.1111/arcm.12488" TargetMode="External" /><Relationship Type="http://schemas.openxmlformats.org/officeDocument/2006/relationships/hyperlink" Id="rId199" Target="https://doi.org/10.1111/j.1475-4754.2010.00585.x" TargetMode="External" /><Relationship Type="http://schemas.openxmlformats.org/officeDocument/2006/relationships/hyperlink" Id="rId157" Target="https://doi.org/10.1111/nyas.13325" TargetMode="External" /><Relationship Type="http://schemas.openxmlformats.org/officeDocument/2006/relationships/hyperlink" Id="rId131" Target="https://doi.org/10.1126/science.aaf0918" TargetMode="External" /><Relationship Type="http://schemas.openxmlformats.org/officeDocument/2006/relationships/hyperlink" Id="rId105" Target="https://doi.org/10.1140/epjp/s13360-025-06473-z" TargetMode="External" /><Relationship Type="http://schemas.openxmlformats.org/officeDocument/2006/relationships/hyperlink" Id="rId151" Target="https://doi.org/10.1145/2467696.2467712" TargetMode="External" /><Relationship Type="http://schemas.openxmlformats.org/officeDocument/2006/relationships/hyperlink" Id="rId218" Target="https://doi.org/10.11588/AI.2015.1.26162" TargetMode="External" /><Relationship Type="http://schemas.openxmlformats.org/officeDocument/2006/relationships/hyperlink" Id="rId119" Target="https://doi.org/10.1161/CIRCRESAHA.114.303819" TargetMode="External" /><Relationship Type="http://schemas.openxmlformats.org/officeDocument/2006/relationships/hyperlink" Id="rId155" Target="https://doi.org/10.1287/mnsc.2023.03556" TargetMode="External" /><Relationship Type="http://schemas.openxmlformats.org/officeDocument/2006/relationships/hyperlink" Id="rId99" Target="https://doi.org/10.1371/journal.pbio.3002815" TargetMode="External" /><Relationship Type="http://schemas.openxmlformats.org/officeDocument/2006/relationships/hyperlink" Id="rId230" Target="https://doi.org/10.1371/journal.pcbi.1008316" TargetMode="External" /><Relationship Type="http://schemas.openxmlformats.org/officeDocument/2006/relationships/hyperlink" Id="rId123" Target="https://doi.org/10.1371/journal.pone.0297931" TargetMode="External" /><Relationship Type="http://schemas.openxmlformats.org/officeDocument/2006/relationships/hyperlink" Id="rId179" Target="https://doi.org/10.14237/ebl.6.2.2015.467" TargetMode="External" /><Relationship Type="http://schemas.openxmlformats.org/officeDocument/2006/relationships/hyperlink" Id="rId187" Target="https://doi.org/10.1523/ENEURO.0215-22.2023" TargetMode="External" /><Relationship Type="http://schemas.openxmlformats.org/officeDocument/2006/relationships/hyperlink" Id="rId159" Target="https://doi.org/10.1594/IEDA/100426" TargetMode="External" /><Relationship Type="http://schemas.openxmlformats.org/officeDocument/2006/relationships/hyperlink" Id="rId141" Target="https://doi.org/10.2218/ijdc.v11i1.401" TargetMode="External" /><Relationship Type="http://schemas.openxmlformats.org/officeDocument/2006/relationships/hyperlink" Id="rId258" Target="https://doi.org/10.25919/0E5M-Q876" TargetMode="External" /><Relationship Type="http://schemas.openxmlformats.org/officeDocument/2006/relationships/hyperlink" Id="rId133" Target="https://doi.org/10.26186/149408" TargetMode="External" /><Relationship Type="http://schemas.openxmlformats.org/officeDocument/2006/relationships/hyperlink" Id="rId125" Target="https://doi.org/10.32614/CRAN.package.workflowr" TargetMode="External" /><Relationship Type="http://schemas.openxmlformats.org/officeDocument/2006/relationships/hyperlink" Id="rId232" Target="https://doi.org/10.3389/fninf.2017.00076" TargetMode="External" /><Relationship Type="http://schemas.openxmlformats.org/officeDocument/2006/relationships/hyperlink" Id="rId226" Target="https://doi.org/10.3389/fninf.2018.00018" TargetMode="External" /><Relationship Type="http://schemas.openxmlformats.org/officeDocument/2006/relationships/hyperlink" Id="rId110" Target="https://doi.org/10.48550/arXiv.1802.03311" TargetMode="External" /><Relationship Type="http://schemas.openxmlformats.org/officeDocument/2006/relationships/hyperlink" Id="rId214" Target="https://doi.org/10.52294/001c.143700" TargetMode="External" /><Relationship Type="http://schemas.openxmlformats.org/officeDocument/2006/relationships/hyperlink" Id="rId103" Target="https://doi.org/10.5281/zenodo.5960048" TargetMode="External" /><Relationship Type="http://schemas.openxmlformats.org/officeDocument/2006/relationships/hyperlink" Id="rId101" Target="https://doi.org/10.5465/annals.2016.0011" TargetMode="External" /><Relationship Type="http://schemas.openxmlformats.org/officeDocument/2006/relationships/hyperlink" Id="rId210" Target="https://doi.org/10.64628/AAI.6vrtn4uw3" TargetMode="External" /><Relationship Type="http://schemas.openxmlformats.org/officeDocument/2006/relationships/hyperlink" Id="rId260" Target="https://ggplot2.tidyverse.org" TargetMode="External" /><Relationship Type="http://schemas.openxmlformats.org/officeDocument/2006/relationships/hyperlink" Id="rId94" Target="https://github.com/archaeothommy/ReproducibilityArchaeometallurgy" TargetMode="External" /><Relationship Type="http://schemas.openxmlformats.org/officeDocument/2006/relationships/hyperlink" Id="rId212" Target="https://github.com/benmarwick/rrtools" TargetMode="External" /><Relationship Type="http://schemas.openxmlformats.org/officeDocument/2006/relationships/hyperlink" Id="rId236" Target="https://www.R-project.org/" TargetMode="External" /><Relationship Type="http://schemas.openxmlformats.org/officeDocument/2006/relationships/hyperlink" Id="rId238" Target="https://www.archcalc.cnr.it/journal/articles/501" TargetMode="External" /><Relationship Type="http://schemas.openxmlformats.org/officeDocument/2006/relationships/hyperlink" Id="rId83" Target="https://www.protocols.io/" TargetMode="External" /><Relationship Type="http://schemas.openxmlformats.org/officeDocument/2006/relationships/hyperlink" Id="rId264" Target="https://yihui.org/knit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Words>
  <Characters>90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My title</vt:lpstr>
    </vt:vector>
  </TitlesOfParts>
  <Manager/>
  <Company/>
  <LinksUpToDate>false</LinksUpToDate>
  <CharactersWithSpaces>103</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bare necessities: Improving data quality in archaeometallurgy through reproducibility</dc:title>
  <dc:creator>Berber S. van der Meulen-van der Veen; Thomas Rose</dc:creator>
  <cp:keywords/>
  <dcterms:created xsi:type="dcterms:W3CDTF">2026-06-22T00:20:55Z</dcterms:created>
  <dcterms:modified xsi:type="dcterms:W3CDTF">2026-06-22T00:20:55Z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sl">
    <vt:lpwstr>../templates/archaeological-and-anthropological-sciences.csl</vt:lpwstr>
  </property>
  <property fmtid="{D5CDD505-2E9C-101B-9397-08002B2CF9AE}" pid="9" name="date">
    <vt:lpwstr>June 21, 2026</vt:lpwstr>
  </property>
  <property fmtid="{D5CDD505-2E9C-101B-9397-08002B2CF9AE}" pid="10" name="date-format">
    <vt:lpwstr>long</vt:lpwstr>
  </property>
  <property fmtid="{D5CDD505-2E9C-101B-9397-08002B2CF9AE}" pid="11" name="engines">
    <vt:lpwstr/>
  </property>
  <property fmtid="{D5CDD505-2E9C-101B-9397-08002B2CF9AE}" pid="12" name="execute">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toc-title">
    <vt:lpwstr>Table of contents</vt:lpwstr>
  </property>
</Properties>
</file>