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drawing>
          <wp:inline distT="0" distB="0" distL="0" distR="0">
            <wp:extent cx="2095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781050"/>
                    </a:xfrm>
                    <a:prstGeom prst="rect">
                      <a:avLst/>
                    </a:prstGeom>
                  </pic:spPr>
                </pic:pic>
              </a:graphicData>
            </a:graphic>
          </wp:inline>
        </w:drawing>
      </w:r>
    </w:p>
    <w:p>
      <w:pPr>
        <w:spacing w:after="80"/>
      </w:pPr>
      <w:r>
        <w:rPr>
          <w:b/>
          <w:bCs/>
          <w:color w:val="1F3A5F"/>
          <w:sz w:val="40"/>
          <w:szCs w:val="40"/>
        </w:rPr>
        <w:t xml:space="preserve">COMMUNICATION PROCEDURE</w:t>
      </w:r>
    </w:p>
    <w:p>
      <w:pPr>
        <w:spacing w:after="360"/>
      </w:pPr>
      <w:r>
        <w:rPr>
          <w:i/>
          <w:iCs/>
          <w:color w:val="444444"/>
          <w:sz w:val="24"/>
          <w:szCs w:val="24"/>
        </w:rPr>
        <w:t xml:space="preserve">Ensuring every message moves top to bottom, across the leads, and bottom to top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A5F" w:color="auto" w:val="clear"/>
            <w:vAlign w:val="center"/>
          </w:tcPr>
          <w:p>
            <w:r>
              <w:rPr>
                <w:b/>
                <w:bCs/>
                <w:color w:val="FFFFFF"/>
                <w:sz w:val="20"/>
                <w:szCs w:val="20"/>
              </w:rPr>
              <w:t xml:space="preserve">Field</w:t>
            </w:r>
          </w:p>
        </w:tc>
        <w:tc>
          <w:tcPr>
            <w:tcW w:type="dxa" w:w="6300"/>
            <w:shd w:fill="1F3A5F" w:color="auto" w:val="clear"/>
            <w:vAlign w:val="center"/>
          </w:tcPr>
          <w:p>
            <w:r>
              <w:rPr>
                <w:b/>
                <w:bCs/>
                <w:color w:val="FFFFFF"/>
                <w:sz w:val="20"/>
                <w:szCs w:val="20"/>
              </w:rPr>
              <w:t xml:space="preserve">Detail</w:t>
            </w:r>
          </w:p>
        </w:tc>
      </w:tr>
      <w:tr>
        <w:tc>
          <w:tcPr>
            <w:tcW w:type="dxa" w:w="3200"/>
            <w:vAlign w:val="center"/>
          </w:tcPr>
          <w:p>
            <w:r>
              <w:rPr>
                <w:b w:val="false"/>
                <w:bCs w:val="false"/>
                <w:color w:val="000000"/>
                <w:sz w:val="20"/>
                <w:szCs w:val="20"/>
              </w:rPr>
              <w:t xml:space="preserve">Procedure Number</w:t>
            </w:r>
          </w:p>
        </w:tc>
        <w:tc>
          <w:tcPr>
            <w:tcW w:type="dxa" w:w="6300"/>
            <w:vAlign w:val="center"/>
          </w:tcPr>
          <w:p>
            <w:r>
              <w:rPr>
                <w:b w:val="false"/>
                <w:bCs w:val="false"/>
                <w:color w:val="000000"/>
                <w:sz w:val="20"/>
                <w:szCs w:val="20"/>
              </w:rPr>
              <w:t xml:space="preserve">EA-COMM-PROC-01</w:t>
            </w:r>
          </w:p>
        </w:tc>
      </w:tr>
      <w:tr>
        <w:tc>
          <w:tcPr>
            <w:tcW w:type="dxa" w:w="3200"/>
            <w:shd w:fill="EAF0F6" w:color="auto" w:val="clear"/>
            <w:vAlign w:val="center"/>
          </w:tcPr>
          <w:p>
            <w:r>
              <w:rPr>
                <w:b w:val="false"/>
                <w:bCs w:val="false"/>
                <w:color w:val="000000"/>
                <w:sz w:val="20"/>
                <w:szCs w:val="20"/>
              </w:rPr>
              <w:t xml:space="preserve">Procedure Title</w:t>
            </w:r>
          </w:p>
        </w:tc>
        <w:tc>
          <w:tcPr>
            <w:tcW w:type="dxa" w:w="6300"/>
            <w:shd w:fill="EAF0F6" w:color="auto" w:val="clear"/>
            <w:vAlign w:val="center"/>
          </w:tcPr>
          <w:p>
            <w:r>
              <w:rPr>
                <w:b w:val="false"/>
                <w:bCs w:val="false"/>
                <w:color w:val="000000"/>
                <w:sz w:val="20"/>
                <w:szCs w:val="20"/>
              </w:rPr>
              <w:t xml:space="preserve">Communication Procedure</w:t>
            </w:r>
          </w:p>
        </w:tc>
      </w:tr>
      <w:tr>
        <w:tc>
          <w:tcPr>
            <w:tcW w:type="dxa" w:w="3200"/>
            <w:vAlign w:val="center"/>
          </w:tcPr>
          <w:p>
            <w:r>
              <w:rPr>
                <w:b w:val="false"/>
                <w:bCs w:val="false"/>
                <w:color w:val="000000"/>
                <w:sz w:val="20"/>
                <w:szCs w:val="20"/>
              </w:rPr>
              <w:t xml:space="preserve">Version</w:t>
            </w:r>
          </w:p>
        </w:tc>
        <w:tc>
          <w:tcPr>
            <w:tcW w:type="dxa" w:w="6300"/>
            <w:vAlign w:val="center"/>
          </w:tcPr>
          <w:p>
            <w:r>
              <w:rPr>
                <w:b w:val="false"/>
                <w:bCs w:val="false"/>
                <w:color w:val="000000"/>
                <w:sz w:val="20"/>
                <w:szCs w:val="20"/>
              </w:rPr>
              <w:t xml:space="preserve">2.3</w:t>
            </w:r>
          </w:p>
        </w:tc>
      </w:tr>
      <w:tr>
        <w:tc>
          <w:tcPr>
            <w:tcW w:type="dxa" w:w="3200"/>
            <w:shd w:fill="EAF0F6" w:color="auto" w:val="clear"/>
            <w:vAlign w:val="center"/>
          </w:tcPr>
          <w:p>
            <w:r>
              <w:rPr>
                <w:b w:val="false"/>
                <w:bCs w:val="false"/>
                <w:color w:val="000000"/>
                <w:sz w:val="20"/>
                <w:szCs w:val="20"/>
              </w:rPr>
              <w:t xml:space="preserve">Effective Date</w:t>
            </w:r>
          </w:p>
        </w:tc>
        <w:tc>
          <w:tcPr>
            <w:tcW w:type="dxa" w:w="6300"/>
            <w:shd w:fill="EAF0F6" w:color="auto" w:val="clear"/>
            <w:vAlign w:val="center"/>
          </w:tcPr>
          <w:p>
            <w:r>
              <w:rPr>
                <w:b w:val="false"/>
                <w:bCs w:val="false"/>
                <w:color w:val="000000"/>
                <w:sz w:val="20"/>
                <w:szCs w:val="20"/>
              </w:rPr>
              <w:t xml:space="preserve">13-Sep-2026</w:t>
            </w:r>
          </w:p>
        </w:tc>
      </w:tr>
    </w:tbl>
    <w:p>
      <w:pPr>
        <w:spacing w:after="300"/>
      </w:pPr>
    </w:p>
    <w:p>
      <w:pPr>
        <w:spacing w:after="120" w:before="100"/>
      </w:pPr>
      <w:r>
        <w:rPr>
          <w:b/>
          <w:bCs/>
          <w:color w:val="1F3A5F"/>
          <w:sz w:val="26"/>
          <w:szCs w:val="26"/>
        </w:rPr>
        <w:t xml:space="preserve">Document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Pr>
          <w:p>
            <w:r>
              <w:rPr>
                <w:b/>
                <w:bCs/>
                <w:color w:val="1F3A5F"/>
              </w:rPr>
              <w:t xml:space="preserve">Prepared By — Designation</w:t>
            </w:r>
          </w:p>
          <w:p>
            <w:r>
              <w:t xml:space="preserve">Operations Manager</w:t>
            </w:r>
          </w:p>
        </w:tc>
        <w:tc>
          <w:tcPr>
            <w:tcW w:type="dxa" w:w="4750"/>
          </w:tcPr>
          <w:p>
            <w:r>
              <w:rPr>
                <w:b/>
                <w:bCs/>
                <w:color w:val="1F3A5F"/>
              </w:rPr>
              <w:t xml:space="preserve">Approved By — Designation</w:t>
            </w:r>
          </w:p>
          <w:p>
            <w:r>
              <w:t xml:space="preserve">Chief Executive Officer</w:t>
            </w:r>
          </w:p>
        </w:tc>
      </w:tr>
      <w:tr>
        <w:tc>
          <w:tcPr>
            <w:tcW w:type="dxa" w:w="4750"/>
          </w:tcPr>
          <w:p>
            <w:r>
              <w:rPr>
                <w:b/>
                <w:bCs/>
                <w:color w:val="1F3A5F"/>
              </w:rPr>
              <w:t xml:space="preserve">Name</w:t>
            </w:r>
          </w:p>
          <w:p/>
        </w:tc>
        <w:tc>
          <w:tcPr>
            <w:tcW w:type="dxa" w:w="4750"/>
          </w:tcPr>
          <w:p>
            <w:r>
              <w:rPr>
                <w:b/>
                <w:bCs/>
                <w:color w:val="1F3A5F"/>
              </w:rPr>
              <w:t xml:space="preserve">Name</w:t>
            </w:r>
          </w:p>
          <w:p/>
        </w:tc>
      </w:tr>
      <w:tr>
        <w:tc>
          <w:tcPr>
            <w:tcW w:type="dxa" w:w="4750"/>
          </w:tcPr>
          <w:p>
            <w:r>
              <w:rPr>
                <w:b/>
                <w:bCs/>
                <w:color w:val="1F3A5F"/>
              </w:rPr>
              <w:t xml:space="preserve">Signature</w:t>
            </w:r>
          </w:p>
          <w:p/>
        </w:tc>
        <w:tc>
          <w:tcPr>
            <w:tcW w:type="dxa" w:w="4750"/>
          </w:tcPr>
          <w:p>
            <w:r>
              <w:rPr>
                <w:b/>
                <w:bCs/>
                <w:color w:val="1F3A5F"/>
              </w:rPr>
              <w:t xml:space="preserve">Signature</w:t>
            </w:r>
          </w:p>
          <w:p/>
        </w:tc>
      </w:tr>
      <w:tr>
        <w:tc>
          <w:tcPr>
            <w:tcW w:type="dxa" w:w="4750"/>
          </w:tcPr>
          <w:p>
            <w:r>
              <w:rPr>
                <w:b/>
                <w:bCs/>
                <w:color w:val="1F3A5F"/>
              </w:rPr>
              <w:t xml:space="preserve">Date</w:t>
            </w:r>
          </w:p>
          <w:p/>
        </w:tc>
        <w:tc>
          <w:tcPr>
            <w:tcW w:type="dxa" w:w="4750"/>
          </w:tcPr>
          <w:p>
            <w:r>
              <w:rPr>
                <w:b/>
                <w:bCs/>
                <w:color w:val="1F3A5F"/>
              </w:rPr>
              <w:t xml:space="preserve">Date</w:t>
            </w:r>
          </w:p>
          <w:p/>
        </w:tc>
      </w:tr>
    </w:tbl>
    <w:p>
      <w:pPr>
        <w:spacing w:after="260"/>
      </w:pPr>
    </w:p>
    <w:p>
      <w:pPr>
        <w:spacing w:after="200"/>
      </w:pPr>
      <w:r>
        <w:rPr>
          <w:i/>
          <w:iCs/>
          <w:color w:val="666666"/>
          <w:sz w:val="19"/>
          <w:szCs w:val="19"/>
        </w:rPr>
        <w:t xml:space="preserve">This procedure is binding on all staff involved in Elite Academy's communication flow. Signature by the Chief Executive Officer above authorizes this version for implementation.</w:t>
      </w:r>
    </w:p>
    <w:p>
      <w:pPr>
        <w:pageBreakBefore/>
      </w:pPr>
      <w:r>
        <w:br/>
        <w:t xml:space="preserve"/>
      </w:r>
    </w:p>
    <w:p>
      <w:pPr>
        <w:pBdr>
          <w:left w:val="single" w:color="B7791F" w:sz="12" w:space="8"/>
        </w:pBdr>
        <w:spacing w:after="160"/>
        <w:ind w:left="200"/>
      </w:pPr>
      <w:r>
        <w:rPr>
          <w:i/>
          <w:iCs/>
          <w:color w:val="555555"/>
        </w:rPr>
        <w:t xml:space="preserve">This procedure is the master communication reference for Elite Academy. It works alongside the "How We Work Together" playbook (EA-COMM-PLAY-01): that document describes team culture and handoffs; this one guarantees the mechanics — who sends what, to whom, how often, and how receipt is confirmed — in all three directions. The remaining open decisions are tracked separately in the Open Items document (EA-COMM-OPEN-01), not in this procedure. See Appendix A for the full organization chart.</w:t>
      </w:r>
    </w:p>
    <w:p>
      <w:pPr>
        <w:pStyle w:val="Heading1"/>
        <w:spacing w:after="160" w:before="320"/>
      </w:pPr>
      <w:r>
        <w:t xml:space="preserve">1. Purpose</w:t>
      </w:r>
    </w:p>
    <w:p>
      <w:pPr>
        <w:spacing w:after="140"/>
      </w:pPr>
      <w:r>
        <w:rPr>
          <w:b w:val="false"/>
          <w:bCs w:val="false"/>
          <w:i w:val="false"/>
          <w:iCs w:val="false"/>
        </w:rPr>
        <w:t xml:space="preserve">To make sure no message is lost between Dakhil and any member of staff — whether it travels down from leadership, across between the four function leads, or up from the floor — by giving every communication a defined sender, receiver, channel, frequency, and confirmation step.</w:t>
      </w:r>
    </w:p>
    <w:p>
      <w:pPr>
        <w:pStyle w:val="Heading1"/>
        <w:spacing w:after="160" w:before="320"/>
      </w:pPr>
      <w:r>
        <w:t xml:space="preserve">2. Scope</w:t>
      </w:r>
    </w:p>
    <w:p>
      <w:pPr>
        <w:spacing w:after="140"/>
      </w:pPr>
      <w:r>
        <w:rPr>
          <w:b w:val="false"/>
          <w:bCs w:val="false"/>
          <w:i w:val="false"/>
          <w:iCs w:val="false"/>
        </w:rPr>
        <w:t xml:space="preserve">This procedure covers all recurring communication between the following levels:</w:t>
      </w:r>
    </w:p>
    <w:p>
      <w:pPr>
        <w:pStyle w:val="ListParagraph"/>
        <w:numPr>
          <w:ilvl w:val="0"/>
          <w:numId w:val="2"/>
        </w:numPr>
        <w:spacing w:after="70"/>
      </w:pPr>
      <w:r>
        <w:t xml:space="preserve">Level 1 — Dakhil (Direction &amp; Alignment)</w:t>
      </w:r>
    </w:p>
    <w:p>
      <w:pPr>
        <w:pStyle w:val="ListParagraph"/>
        <w:numPr>
          <w:ilvl w:val="0"/>
          <w:numId w:val="2"/>
        </w:numPr>
        <w:spacing w:after="70"/>
      </w:pPr>
      <w:r>
        <w:t xml:space="preserve">Level 2 — Function leads: Abdullah (Training), Nasser (Operations), Maryam (Marketing), Saud (Systems &amp; IT)</w:t>
      </w:r>
    </w:p>
    <w:p>
      <w:pPr>
        <w:pStyle w:val="ListParagraph"/>
        <w:numPr>
          <w:ilvl w:val="0"/>
          <w:numId w:val="2"/>
        </w:numPr>
        <w:spacing w:after="70"/>
      </w:pPr>
      <w:r>
        <w:t xml:space="preserve">Level 3 — Staff and branch teams: Carlos, Ahmed, Verna, Tareq, Roaa, Ayaa, and instructors</w:t>
      </w:r>
    </w:p>
    <w:p>
      <w:pPr>
        <w:spacing w:after="140"/>
      </w:pPr>
      <w:r>
        <w:rPr>
          <w:b w:val="false"/>
          <w:bCs w:val="false"/>
          <w:i w:val="false"/>
          <w:iCs w:val="false"/>
        </w:rPr>
        <w:t xml:space="preserve">It does not replace the specific handoffs already defined in the "How We Work Together" playbook — it guarantees those handoffs, and every other cross-level message, actually complete. See Appendix A for the full organization chart, including Roaa's dual coaching/operations role.</w:t>
      </w:r>
    </w:p>
    <w:p>
      <w:pPr>
        <w:pStyle w:val="Heading1"/>
        <w:spacing w:after="160" w:before="320"/>
      </w:pPr>
      <w:r>
        <w:t xml:space="preserve">3. The Three Directions</w:t>
      </w:r>
    </w:p>
    <w:p>
      <w:pPr>
        <w:spacing w:after="140"/>
      </w:pPr>
      <w:r>
        <w:rPr>
          <w:b w:val="false"/>
          <w:bCs w:val="false"/>
          <w:i w:val="false"/>
          <w:iCs w:val="false"/>
        </w:rPr>
        <w:t xml:space="preserve">Every message at Elite Academy moves in one of three directions. Each has its own risk if it breaks down, so each gets its own rule: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F3A5F" w:color="auto" w:val="clear"/>
            <w:vAlign w:val="center"/>
          </w:tcPr>
          <w:p>
            <w:r>
              <w:rPr>
                <w:b/>
                <w:bCs/>
                <w:color w:val="FFFFFF"/>
                <w:sz w:val="20"/>
                <w:szCs w:val="20"/>
              </w:rPr>
              <w:t xml:space="preserve">Direction</w:t>
            </w:r>
          </w:p>
        </w:tc>
        <w:tc>
          <w:tcPr>
            <w:tcW w:type="dxa" w:w="3600"/>
            <w:shd w:fill="1F3A5F" w:color="auto" w:val="clear"/>
            <w:vAlign w:val="center"/>
          </w:tcPr>
          <w:p>
            <w:r>
              <w:rPr>
                <w:b/>
                <w:bCs/>
                <w:color w:val="FFFFFF"/>
                <w:sz w:val="20"/>
                <w:szCs w:val="20"/>
              </w:rPr>
              <w:t xml:space="preserve">Risk if it breaks</w:t>
            </w:r>
          </w:p>
        </w:tc>
        <w:tc>
          <w:tcPr>
            <w:tcW w:type="dxa" w:w="3700"/>
            <w:shd w:fill="1F3A5F" w:color="auto" w:val="clear"/>
            <w:vAlign w:val="center"/>
          </w:tcPr>
          <w:p>
            <w:r>
              <w:rPr>
                <w:b/>
                <w:bCs/>
                <w:color w:val="FFFFFF"/>
                <w:sz w:val="20"/>
                <w:szCs w:val="20"/>
              </w:rPr>
              <w:t xml:space="preserve">Guarantee</w:t>
            </w:r>
          </w:p>
        </w:tc>
      </w:tr>
      <w:tr>
        <w:tc>
          <w:tcPr>
            <w:tcW w:type="dxa" w:w="2200"/>
            <w:vAlign w:val="center"/>
          </w:tcPr>
          <w:p>
            <w:r>
              <w:rPr>
                <w:b w:val="false"/>
                <w:bCs w:val="false"/>
                <w:color w:val="000000"/>
                <w:sz w:val="20"/>
                <w:szCs w:val="20"/>
              </w:rPr>
              <w:t xml:space="preserve">Downward (top → bottom)</w:t>
            </w:r>
          </w:p>
        </w:tc>
        <w:tc>
          <w:tcPr>
            <w:tcW w:type="dxa" w:w="3600"/>
            <w:vAlign w:val="center"/>
          </w:tcPr>
          <w:p>
            <w:r>
              <w:rPr>
                <w:b w:val="false"/>
                <w:bCs w:val="false"/>
                <w:color w:val="000000"/>
                <w:sz w:val="20"/>
                <w:szCs w:val="20"/>
              </w:rPr>
              <w:t xml:space="preserve">Staff act on outdated or missing direction</w:t>
            </w:r>
          </w:p>
        </w:tc>
        <w:tc>
          <w:tcPr>
            <w:tcW w:type="dxa" w:w="3700"/>
            <w:vAlign w:val="center"/>
          </w:tcPr>
          <w:p>
            <w:r>
              <w:rPr>
                <w:b w:val="false"/>
                <w:bCs w:val="false"/>
                <w:color w:val="000000"/>
                <w:sz w:val="20"/>
                <w:szCs w:val="20"/>
              </w:rPr>
              <w:t xml:space="preserve">Every decision from Dakhil reaches every affected staff member within a set time, with confirmation it was received.</w:t>
            </w:r>
          </w:p>
        </w:tc>
      </w:tr>
      <w:tr>
        <w:tc>
          <w:tcPr>
            <w:tcW w:type="dxa" w:w="2200"/>
            <w:shd w:fill="EAF0F6" w:color="auto" w:val="clear"/>
            <w:vAlign w:val="center"/>
          </w:tcPr>
          <w:p>
            <w:r>
              <w:rPr>
                <w:b w:val="false"/>
                <w:bCs w:val="false"/>
                <w:color w:val="000000"/>
                <w:sz w:val="20"/>
                <w:szCs w:val="20"/>
              </w:rPr>
              <w:t xml:space="preserve">Lateral (across the leads)</w:t>
            </w:r>
          </w:p>
        </w:tc>
        <w:tc>
          <w:tcPr>
            <w:tcW w:type="dxa" w:w="3600"/>
            <w:shd w:fill="EAF0F6" w:color="auto" w:val="clear"/>
            <w:vAlign w:val="center"/>
          </w:tcPr>
          <w:p>
            <w:r>
              <w:rPr>
                <w:b w:val="false"/>
                <w:bCs w:val="false"/>
                <w:color w:val="000000"/>
                <w:sz w:val="20"/>
                <w:szCs w:val="20"/>
              </w:rPr>
              <w:t xml:space="preserve">Teams duplicate work or contradict each other</w:t>
            </w:r>
          </w:p>
        </w:tc>
        <w:tc>
          <w:tcPr>
            <w:tcW w:type="dxa" w:w="3700"/>
            <w:shd w:fill="EAF0F6" w:color="auto" w:val="clear"/>
            <w:vAlign w:val="center"/>
          </w:tcPr>
          <w:p>
            <w:r>
              <w:rPr>
                <w:b w:val="false"/>
                <w:bCs w:val="false"/>
                <w:color w:val="000000"/>
                <w:sz w:val="20"/>
                <w:szCs w:val="20"/>
              </w:rPr>
              <w:t xml:space="preserve">Every cross-functional handoff has a named sender and receiver who confirms receipt before work proceeds.</w:t>
            </w:r>
          </w:p>
        </w:tc>
      </w:tr>
      <w:tr>
        <w:tc>
          <w:tcPr>
            <w:tcW w:type="dxa" w:w="2200"/>
            <w:vAlign w:val="center"/>
          </w:tcPr>
          <w:p>
            <w:r>
              <w:rPr>
                <w:b w:val="false"/>
                <w:bCs w:val="false"/>
                <w:color w:val="000000"/>
                <w:sz w:val="20"/>
                <w:szCs w:val="20"/>
              </w:rPr>
              <w:t xml:space="preserve">Upward (bottom → top)</w:t>
            </w:r>
          </w:p>
        </w:tc>
        <w:tc>
          <w:tcPr>
            <w:tcW w:type="dxa" w:w="3600"/>
            <w:vAlign w:val="center"/>
          </w:tcPr>
          <w:p>
            <w:r>
              <w:rPr>
                <w:b w:val="false"/>
                <w:bCs w:val="false"/>
                <w:color w:val="000000"/>
                <w:sz w:val="20"/>
                <w:szCs w:val="20"/>
              </w:rPr>
              <w:t xml:space="preserve">Leadership is blind to real conditions on the floor</w:t>
            </w:r>
          </w:p>
        </w:tc>
        <w:tc>
          <w:tcPr>
            <w:tcW w:type="dxa" w:w="3700"/>
            <w:vAlign w:val="center"/>
          </w:tcPr>
          <w:p>
            <w:r>
              <w:rPr>
                <w:b w:val="false"/>
                <w:bCs w:val="false"/>
                <w:color w:val="000000"/>
                <w:sz w:val="20"/>
                <w:szCs w:val="20"/>
              </w:rPr>
              <w:t xml:space="preserve">Every lead reports up on a fixed cadence, and urgent issues escalate immediately, not on the next scheduled report.</w:t>
            </w:r>
          </w:p>
        </w:tc>
      </w:tr>
    </w:tbl>
    <w:p>
      <w:pPr>
        <w:pStyle w:val="Heading1"/>
        <w:spacing w:after="160" w:before="320"/>
      </w:pPr>
      <w:r>
        <w:t xml:space="preserve">4. Downward Communication — Top to Bottom</w:t>
      </w:r>
    </w:p>
    <w:p>
      <w:pPr>
        <w:spacing w:after="140"/>
      </w:pPr>
      <w:r>
        <w:rPr>
          <w:b w:val="false"/>
          <w:bCs w:val="false"/>
          <w:i w:val="false"/>
          <w:iCs w:val="false"/>
        </w:rPr>
        <w:t xml:space="preserve">Direction, decisions, and policy changes originate with Dakhil or with a function lead acting on Dakhil's behalf, and must reach every affected person, not just the next level down.</w:t>
      </w:r>
    </w:p>
    <w:p>
      <w:pPr>
        <w:pStyle w:val="Heading2"/>
        <w:spacing w:after="100" w:before="220"/>
      </w:pPr>
      <w:r>
        <w:t xml:space="preserve">4.1 Dakhil to Each Lead</w:t>
      </w:r>
    </w:p>
    <w:p>
      <w:pPr>
        <w:spacing w:after="140"/>
      </w:pPr>
      <w:r>
        <w:rPr>
          <w:b w:val="false"/>
          <w:bCs w:val="false"/>
          <w:i w:val="false"/>
          <w:iCs w:val="false"/>
        </w:rPr>
        <w:t xml:space="preserve">The same vision and direction reaches every function, addressed individually so no lead is assumed to have heard it secondhand. This runs on two channels: a monthly standing meeting for strategic direction, and email in between for anything that can't wait a month.</w:t>
      </w:r>
    </w:p>
    <w:p>
      <w:pPr>
        <w:spacing w:after="160"/>
        <w:jc w:val="center"/>
      </w:pPr>
      <w:r>
        <w:drawing>
          <wp:inline distT="0" distB="0" distL="0" distR="0">
            <wp:extent cx="4762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381125"/>
                    </a:xfrm>
                    <a:prstGeom prst="rect">
                      <a:avLst/>
                    </a:prstGeom>
                  </pic:spPr>
                </pic:pic>
              </a:graphicData>
            </a:graphic>
          </wp:inline>
        </w:drawing>
      </w:r>
    </w:p>
    <w:p>
      <w:pPr>
        <w:pStyle w:val="Heading2"/>
        <w:spacing w:after="100" w:before="220"/>
      </w:pPr>
      <w:r>
        <w:t xml:space="preserve">4.1.1 Monthly Standing Sync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000"/>
        <w:gridCol w:w="2300"/>
      </w:tblGrid>
      <w:tr>
        <w:trPr>
          <w:tblHeader/>
        </w:trPr>
        <w:tc>
          <w:tcPr>
            <w:tcW w:type="dxa" w:w="2600"/>
            <w:shd w:fill="1F3A5F" w:color="auto" w:val="clear"/>
            <w:vAlign w:val="center"/>
          </w:tcPr>
          <w:p>
            <w:r>
              <w:rPr>
                <w:b/>
                <w:bCs/>
                <w:color w:val="FFFFFF"/>
                <w:sz w:val="20"/>
                <w:szCs w:val="20"/>
              </w:rPr>
              <w:t xml:space="preserve">From → To</w:t>
            </w:r>
          </w:p>
        </w:tc>
        <w:tc>
          <w:tcPr>
            <w:tcW w:type="dxa" w:w="3400"/>
            <w:shd w:fill="1F3A5F" w:color="auto" w:val="clear"/>
            <w:vAlign w:val="center"/>
          </w:tcPr>
          <w:p>
            <w:r>
              <w:rPr>
                <w:b/>
                <w:bCs/>
                <w:color w:val="FFFFFF"/>
                <w:sz w:val="20"/>
                <w:szCs w:val="20"/>
              </w:rPr>
              <w:t xml:space="preserve">What Moves</w:t>
            </w:r>
          </w:p>
        </w:tc>
        <w:tc>
          <w:tcPr>
            <w:tcW w:type="dxa" w:w="2000"/>
            <w:shd w:fill="1F3A5F" w:color="auto" w:val="clear"/>
            <w:vAlign w:val="center"/>
          </w:tcPr>
          <w:p>
            <w:r>
              <w:rPr>
                <w:b/>
                <w:bCs/>
                <w:color w:val="FFFFFF"/>
                <w:sz w:val="20"/>
                <w:szCs w:val="20"/>
              </w:rPr>
              <w:t xml:space="preserve">Channel / Frequency</w:t>
            </w:r>
          </w:p>
        </w:tc>
        <w:tc>
          <w:tcPr>
            <w:tcW w:type="dxa" w:w="2300"/>
            <w:shd w:fill="1F3A5F" w:color="auto" w:val="clear"/>
            <w:vAlign w:val="center"/>
          </w:tcPr>
          <w:p>
            <w:r>
              <w:rPr>
                <w:b/>
                <w:bCs/>
                <w:color w:val="FFFFFF"/>
                <w:sz w:val="20"/>
                <w:szCs w:val="20"/>
              </w:rPr>
              <w:t xml:space="preserve">Confirmation</w:t>
            </w:r>
          </w:p>
        </w:tc>
      </w:tr>
      <w:tr>
        <w:tc>
          <w:tcPr>
            <w:tcW w:type="dxa" w:w="2600"/>
            <w:vAlign w:val="center"/>
          </w:tcPr>
          <w:p>
            <w:r>
              <w:rPr>
                <w:b w:val="false"/>
                <w:bCs w:val="false"/>
                <w:color w:val="000000"/>
                <w:sz w:val="20"/>
                <w:szCs w:val="20"/>
              </w:rPr>
              <w:t xml:space="preserve">Dakhil → Abdullah (Training)</w:t>
            </w:r>
          </w:p>
        </w:tc>
        <w:tc>
          <w:tcPr>
            <w:tcW w:type="dxa" w:w="3400"/>
            <w:vAlign w:val="center"/>
          </w:tcPr>
          <w:p>
            <w:r>
              <w:rPr>
                <w:b w:val="false"/>
                <w:bCs w:val="false"/>
                <w:color w:val="000000"/>
                <w:sz w:val="20"/>
                <w:szCs w:val="20"/>
              </w:rPr>
              <w:t xml:space="preserve">Vision, strategic direction, and any decision affecting training programs.</w:t>
            </w:r>
          </w:p>
        </w:tc>
        <w:tc>
          <w:tcPr>
            <w:tcW w:type="dxa" w:w="2000"/>
            <w:vAlign w:val="center"/>
          </w:tcPr>
          <w:p>
            <w:r>
              <w:rPr>
                <w:b w:val="false"/>
                <w:bCs w:val="false"/>
                <w:color w:val="000000"/>
                <w:sz w:val="20"/>
                <w:szCs w:val="20"/>
              </w:rPr>
              <w:t xml:space="preserve">Standing leads meeting, monthly.</w:t>
            </w:r>
          </w:p>
        </w:tc>
        <w:tc>
          <w:tcPr>
            <w:tcW w:type="dxa" w:w="2300"/>
            <w:vAlign w:val="center"/>
          </w:tcPr>
          <w:p>
            <w:r>
              <w:rPr>
                <w:b w:val="false"/>
                <w:bCs w:val="false"/>
                <w:color w:val="000000"/>
                <w:sz w:val="20"/>
                <w:szCs w:val="20"/>
              </w:rPr>
              <w:t xml:space="preserve">Abdullah acknowledges in the meeting minutes.</w:t>
            </w:r>
          </w:p>
        </w:tc>
      </w:tr>
      <w:tr>
        <w:tc>
          <w:tcPr>
            <w:tcW w:type="dxa" w:w="2600"/>
            <w:shd w:fill="EAF0F6" w:color="auto" w:val="clear"/>
            <w:vAlign w:val="center"/>
          </w:tcPr>
          <w:p>
            <w:r>
              <w:rPr>
                <w:b w:val="false"/>
                <w:bCs w:val="false"/>
                <w:color w:val="000000"/>
                <w:sz w:val="20"/>
                <w:szCs w:val="20"/>
              </w:rPr>
              <w:t xml:space="preserve">Dakhil → Nasser (Operations)</w:t>
            </w:r>
          </w:p>
        </w:tc>
        <w:tc>
          <w:tcPr>
            <w:tcW w:type="dxa" w:w="3400"/>
            <w:shd w:fill="EAF0F6" w:color="auto" w:val="clear"/>
            <w:vAlign w:val="center"/>
          </w:tcPr>
          <w:p>
            <w:r>
              <w:rPr>
                <w:b w:val="false"/>
                <w:bCs w:val="false"/>
                <w:color w:val="000000"/>
                <w:sz w:val="20"/>
                <w:szCs w:val="20"/>
              </w:rPr>
              <w:t xml:space="preserve">Vision, strategic direction, and any decision affecting operations, sales, or branches.</w:t>
            </w:r>
          </w:p>
        </w:tc>
        <w:tc>
          <w:tcPr>
            <w:tcW w:type="dxa" w:w="2000"/>
            <w:shd w:fill="EAF0F6" w:color="auto" w:val="clear"/>
            <w:vAlign w:val="center"/>
          </w:tcPr>
          <w:p>
            <w:r>
              <w:rPr>
                <w:b w:val="false"/>
                <w:bCs w:val="false"/>
                <w:color w:val="000000"/>
                <w:sz w:val="20"/>
                <w:szCs w:val="20"/>
              </w:rPr>
              <w:t xml:space="preserve">Standing leads meeting, monthly.</w:t>
            </w:r>
          </w:p>
        </w:tc>
        <w:tc>
          <w:tcPr>
            <w:tcW w:type="dxa" w:w="2300"/>
            <w:shd w:fill="EAF0F6" w:color="auto" w:val="clear"/>
            <w:vAlign w:val="center"/>
          </w:tcPr>
          <w:p>
            <w:r>
              <w:rPr>
                <w:b w:val="false"/>
                <w:bCs w:val="false"/>
                <w:color w:val="000000"/>
                <w:sz w:val="20"/>
                <w:szCs w:val="20"/>
              </w:rPr>
              <w:t xml:space="preserve">Nasser acknowledges in the meeting minutes.</w:t>
            </w:r>
          </w:p>
        </w:tc>
      </w:tr>
      <w:tr>
        <w:tc>
          <w:tcPr>
            <w:tcW w:type="dxa" w:w="2600"/>
            <w:vAlign w:val="center"/>
          </w:tcPr>
          <w:p>
            <w:r>
              <w:rPr>
                <w:b w:val="false"/>
                <w:bCs w:val="false"/>
                <w:color w:val="000000"/>
                <w:sz w:val="20"/>
                <w:szCs w:val="20"/>
              </w:rPr>
              <w:t xml:space="preserve">Dakhil → Maryam (Marketing)</w:t>
            </w:r>
          </w:p>
        </w:tc>
        <w:tc>
          <w:tcPr>
            <w:tcW w:type="dxa" w:w="3400"/>
            <w:vAlign w:val="center"/>
          </w:tcPr>
          <w:p>
            <w:r>
              <w:rPr>
                <w:b w:val="false"/>
                <w:bCs w:val="false"/>
                <w:color w:val="000000"/>
                <w:sz w:val="20"/>
                <w:szCs w:val="20"/>
              </w:rPr>
              <w:t xml:space="preserve">Vision, strategic direction, and any decision affecting marketing or messaging.</w:t>
            </w:r>
          </w:p>
        </w:tc>
        <w:tc>
          <w:tcPr>
            <w:tcW w:type="dxa" w:w="2000"/>
            <w:vAlign w:val="center"/>
          </w:tcPr>
          <w:p>
            <w:r>
              <w:rPr>
                <w:b w:val="false"/>
                <w:bCs w:val="false"/>
                <w:color w:val="000000"/>
                <w:sz w:val="20"/>
                <w:szCs w:val="20"/>
              </w:rPr>
              <w:t xml:space="preserve">Standing leads meeting, monthly.</w:t>
            </w:r>
          </w:p>
        </w:tc>
        <w:tc>
          <w:tcPr>
            <w:tcW w:type="dxa" w:w="2300"/>
            <w:vAlign w:val="center"/>
          </w:tcPr>
          <w:p>
            <w:r>
              <w:rPr>
                <w:b w:val="false"/>
                <w:bCs w:val="false"/>
                <w:color w:val="000000"/>
                <w:sz w:val="20"/>
                <w:szCs w:val="20"/>
              </w:rPr>
              <w:t xml:space="preserve">Maryam acknowledges in the meeting minutes.</w:t>
            </w:r>
          </w:p>
        </w:tc>
      </w:tr>
      <w:tr>
        <w:tc>
          <w:tcPr>
            <w:tcW w:type="dxa" w:w="2600"/>
            <w:shd w:fill="EAF0F6" w:color="auto" w:val="clear"/>
            <w:vAlign w:val="center"/>
          </w:tcPr>
          <w:p>
            <w:r>
              <w:rPr>
                <w:b w:val="false"/>
                <w:bCs w:val="false"/>
                <w:color w:val="000000"/>
                <w:sz w:val="20"/>
                <w:szCs w:val="20"/>
              </w:rPr>
              <w:t xml:space="preserve">Dakhil → Saud (Systems &amp; IT)</w:t>
            </w:r>
          </w:p>
        </w:tc>
        <w:tc>
          <w:tcPr>
            <w:tcW w:type="dxa" w:w="3400"/>
            <w:shd w:fill="EAF0F6" w:color="auto" w:val="clear"/>
            <w:vAlign w:val="center"/>
          </w:tcPr>
          <w:p>
            <w:r>
              <w:rPr>
                <w:b w:val="false"/>
                <w:bCs w:val="false"/>
                <w:color w:val="000000"/>
                <w:sz w:val="20"/>
                <w:szCs w:val="20"/>
              </w:rPr>
              <w:t xml:space="preserve">Vision, strategic direction, and any decision affecting systems or tools.</w:t>
            </w:r>
          </w:p>
        </w:tc>
        <w:tc>
          <w:tcPr>
            <w:tcW w:type="dxa" w:w="2000"/>
            <w:shd w:fill="EAF0F6" w:color="auto" w:val="clear"/>
            <w:vAlign w:val="center"/>
          </w:tcPr>
          <w:p>
            <w:r>
              <w:rPr>
                <w:b w:val="false"/>
                <w:bCs w:val="false"/>
                <w:color w:val="000000"/>
                <w:sz w:val="20"/>
                <w:szCs w:val="20"/>
              </w:rPr>
              <w:t xml:space="preserve">Standing leads meeting, monthly.</w:t>
            </w:r>
          </w:p>
        </w:tc>
        <w:tc>
          <w:tcPr>
            <w:tcW w:type="dxa" w:w="2300"/>
            <w:shd w:fill="EAF0F6" w:color="auto" w:val="clear"/>
            <w:vAlign w:val="center"/>
          </w:tcPr>
          <w:p>
            <w:r>
              <w:rPr>
                <w:b w:val="false"/>
                <w:bCs w:val="false"/>
                <w:color w:val="000000"/>
                <w:sz w:val="20"/>
                <w:szCs w:val="20"/>
              </w:rPr>
              <w:t xml:space="preserve">Saud acknowledges in the meeting minutes.</w:t>
            </w:r>
          </w:p>
        </w:tc>
      </w:tr>
      <w:tr>
        <w:tc>
          <w:tcPr>
            <w:tcW w:type="dxa" w:w="2600"/>
            <w:vAlign w:val="center"/>
          </w:tcPr>
          <w:p>
            <w:r>
              <w:rPr>
                <w:b w:val="false"/>
                <w:bCs w:val="false"/>
                <w:color w:val="000000"/>
                <w:sz w:val="20"/>
                <w:szCs w:val="20"/>
              </w:rPr>
              <w:t xml:space="preserve">Dakhil / Operations Manager → any lead</w:t>
            </w:r>
          </w:p>
        </w:tc>
        <w:tc>
          <w:tcPr>
            <w:tcW w:type="dxa" w:w="3400"/>
            <w:vAlign w:val="center"/>
          </w:tcPr>
          <w:p>
            <w:r>
              <w:rPr>
                <w:b w:val="false"/>
                <w:bCs w:val="false"/>
                <w:color w:val="000000"/>
                <w:sz w:val="20"/>
                <w:szCs w:val="20"/>
              </w:rPr>
              <w:t xml:space="preserve">Policy or procedure changes.</w:t>
            </w:r>
          </w:p>
        </w:tc>
        <w:tc>
          <w:tcPr>
            <w:tcW w:type="dxa" w:w="2000"/>
            <w:vAlign w:val="center"/>
          </w:tcPr>
          <w:p>
            <w:r>
              <w:rPr>
                <w:b w:val="false"/>
                <w:bCs w:val="false"/>
                <w:color w:val="000000"/>
                <w:sz w:val="20"/>
                <w:szCs w:val="20"/>
              </w:rPr>
              <w:t xml:space="preserve">Written memo + verbal briefing, as issued.</w:t>
            </w:r>
          </w:p>
        </w:tc>
        <w:tc>
          <w:tcPr>
            <w:tcW w:type="dxa" w:w="2300"/>
            <w:vAlign w:val="center"/>
          </w:tcPr>
          <w:p>
            <w:r>
              <w:rPr>
                <w:b w:val="false"/>
                <w:bCs w:val="false"/>
                <w:color w:val="000000"/>
                <w:sz w:val="20"/>
                <w:szCs w:val="20"/>
              </w:rPr>
              <w:t xml:space="preserve">Lead signs off or gives a logged verbal confirmation.</w:t>
            </w:r>
          </w:p>
        </w:tc>
      </w:tr>
    </w:tbl>
    <w:p>
      <w:pPr>
        <w:pStyle w:val="Heading2"/>
        <w:spacing w:after="100" w:before="220"/>
      </w:pPr>
      <w:r>
        <w:t xml:space="preserve">4.1.2 Email — Between Meetings</w:t>
      </w:r>
    </w:p>
    <w:p>
      <w:pPr>
        <w:spacing w:after="140"/>
      </w:pPr>
      <w:r>
        <w:rPr>
          <w:b w:val="false"/>
          <w:bCs w:val="false"/>
          <w:i w:val="false"/>
          <w:iCs w:val="false"/>
        </w:rPr>
        <w:t xml:space="preserve">A month is too long to sit on a time-sensitive decision, so email carries anything that comes up between standing meetings. This is not a replacement for the monthly sync — it's what keeps the gap between meetings from becoming a communication gap.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1400"/>
        <w:gridCol w:w="2700"/>
      </w:tblGrid>
      <w:tr>
        <w:trPr>
          <w:tblHeader/>
        </w:trPr>
        <w:tc>
          <w:tcPr>
            <w:tcW w:type="dxa" w:w="2900"/>
            <w:shd w:fill="1F3A5F" w:color="auto" w:val="clear"/>
            <w:vAlign w:val="center"/>
          </w:tcPr>
          <w:p>
            <w:r>
              <w:rPr>
                <w:b/>
                <w:bCs/>
                <w:color w:val="FFFFFF"/>
                <w:sz w:val="20"/>
                <w:szCs w:val="20"/>
              </w:rPr>
              <w:t xml:space="preserve">From → To</w:t>
            </w:r>
          </w:p>
        </w:tc>
        <w:tc>
          <w:tcPr>
            <w:tcW w:type="dxa" w:w="3300"/>
            <w:shd w:fill="1F3A5F" w:color="auto" w:val="clear"/>
            <w:vAlign w:val="center"/>
          </w:tcPr>
          <w:p>
            <w:r>
              <w:rPr>
                <w:b/>
                <w:bCs/>
                <w:color w:val="FFFFFF"/>
                <w:sz w:val="20"/>
                <w:szCs w:val="20"/>
              </w:rPr>
              <w:t xml:space="preserve">What Moves</w:t>
            </w:r>
          </w:p>
        </w:tc>
        <w:tc>
          <w:tcPr>
            <w:tcW w:type="dxa" w:w="1400"/>
            <w:shd w:fill="1F3A5F" w:color="auto" w:val="clear"/>
            <w:vAlign w:val="center"/>
          </w:tcPr>
          <w:p>
            <w:r>
              <w:rPr>
                <w:b/>
                <w:bCs/>
                <w:color w:val="FFFFFF"/>
                <w:sz w:val="20"/>
                <w:szCs w:val="20"/>
              </w:rPr>
              <w:t xml:space="preserve">Channel</w:t>
            </w:r>
          </w:p>
        </w:tc>
        <w:tc>
          <w:tcPr>
            <w:tcW w:type="dxa" w:w="2700"/>
            <w:shd w:fill="1F3A5F" w:color="auto" w:val="clear"/>
            <w:vAlign w:val="center"/>
          </w:tcPr>
          <w:p>
            <w:r>
              <w:rPr>
                <w:b/>
                <w:bCs/>
                <w:color w:val="FFFFFF"/>
                <w:sz w:val="20"/>
                <w:szCs w:val="20"/>
              </w:rPr>
              <w:t xml:space="preserve">Confirmation</w:t>
            </w:r>
          </w:p>
        </w:tc>
      </w:tr>
      <w:tr>
        <w:tc>
          <w:tcPr>
            <w:tcW w:type="dxa" w:w="2900"/>
            <w:vAlign w:val="center"/>
          </w:tcPr>
          <w:p>
            <w:r>
              <w:rPr>
                <w:b w:val="false"/>
                <w:bCs w:val="false"/>
                <w:color w:val="000000"/>
                <w:sz w:val="20"/>
                <w:szCs w:val="20"/>
              </w:rPr>
              <w:t xml:space="preserve">Dakhil / Management → all 4 leads</w:t>
            </w:r>
          </w:p>
        </w:tc>
        <w:tc>
          <w:tcPr>
            <w:tcW w:type="dxa" w:w="3300"/>
            <w:vAlign w:val="center"/>
          </w:tcPr>
          <w:p>
            <w:r>
              <w:rPr>
                <w:b w:val="false"/>
                <w:bCs w:val="false"/>
                <w:color w:val="000000"/>
                <w:sz w:val="20"/>
                <w:szCs w:val="20"/>
              </w:rPr>
              <w:t xml:space="preserve">Any decision, update, or direction issued between monthly meetings.</w:t>
            </w:r>
          </w:p>
        </w:tc>
        <w:tc>
          <w:tcPr>
            <w:tcW w:type="dxa" w:w="1400"/>
            <w:vAlign w:val="center"/>
          </w:tcPr>
          <w:p>
            <w:r>
              <w:rPr>
                <w:b w:val="false"/>
                <w:bCs w:val="false"/>
                <w:color w:val="000000"/>
                <w:sz w:val="20"/>
                <w:szCs w:val="20"/>
              </w:rPr>
              <w:t xml:space="preserve">Email.</w:t>
            </w:r>
          </w:p>
        </w:tc>
        <w:tc>
          <w:tcPr>
            <w:tcW w:type="dxa" w:w="2700"/>
            <w:vAlign w:val="center"/>
          </w:tcPr>
          <w:p>
            <w:r>
              <w:rPr>
                <w:b w:val="false"/>
                <w:bCs w:val="false"/>
                <w:color w:val="000000"/>
                <w:sz w:val="20"/>
                <w:szCs w:val="20"/>
              </w:rPr>
              <w:t xml:space="preserve">Each lead replies to confirm receipt, then forwards the same email — not a paraphrase — to their subordinates (see Section 4.2).</w:t>
            </w:r>
          </w:p>
        </w:tc>
      </w:tr>
    </w:tbl>
    <w:p>
      <w:pPr>
        <w:pStyle w:val="Heading2"/>
        <w:spacing w:after="100" w:before="220"/>
      </w:pPr>
      <w:r>
        <w:t xml:space="preserve">4.2 Each Lead to Their Subordinates</w:t>
      </w:r>
    </w:p>
    <w:p>
      <w:pPr>
        <w:spacing w:after="140"/>
      </w:pPr>
      <w:r>
        <w:rPr>
          <w:b w:val="false"/>
          <w:bCs w:val="false"/>
          <w:i w:val="false"/>
          <w:iCs w:val="false"/>
        </w:rPr>
        <w:t xml:space="preserve">Each lead cascades what they receive from Dakhil to their own team within 2 business days, and confirms the cascade is complete back to the source. When the direction arrived by email (Section 4.1.2), the lead forwards that same email — or relays its exact content — to their subordinates, rather than summarizing it secondhand. A lead may also use a phone call or a phone message (SMS/WhatsApp) to reach a subordinate, whichever is fastest — what matters is that the confirmation below still happens. This applies the same "accept the handoff before we let go" standard used in the playbook to downward communication, not just peer handoffs.</w:t>
      </w:r>
    </w:p>
    <w:p>
      <w:pPr>
        <w:spacing w:after="160"/>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6192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00"/>
      </w:tblGrid>
      <w:tr>
        <w:trPr>
          <w:tblHeader/>
        </w:trPr>
        <w:tc>
          <w:tcPr>
            <w:tcW w:type="dxa" w:w="2700"/>
            <w:shd w:fill="1F3A5F" w:color="auto" w:val="clear"/>
            <w:vAlign w:val="center"/>
          </w:tcPr>
          <w:p>
            <w:r>
              <w:rPr>
                <w:b/>
                <w:bCs/>
                <w:color w:val="FFFFFF"/>
                <w:sz w:val="20"/>
                <w:szCs w:val="20"/>
              </w:rPr>
              <w:t xml:space="preserve">From → To</w:t>
            </w:r>
          </w:p>
        </w:tc>
        <w:tc>
          <w:tcPr>
            <w:tcW w:type="dxa" w:w="3900"/>
            <w:shd w:fill="1F3A5F" w:color="auto" w:val="clear"/>
            <w:vAlign w:val="center"/>
          </w:tcPr>
          <w:p>
            <w:r>
              <w:rPr>
                <w:b/>
                <w:bCs/>
                <w:color w:val="FFFFFF"/>
                <w:sz w:val="20"/>
                <w:szCs w:val="20"/>
              </w:rPr>
              <w:t xml:space="preserve">What Moves</w:t>
            </w:r>
          </w:p>
        </w:tc>
        <w:tc>
          <w:tcPr>
            <w:tcW w:type="dxa" w:w="2700"/>
            <w:shd w:fill="1F3A5F" w:color="auto" w:val="clear"/>
            <w:vAlign w:val="center"/>
          </w:tcPr>
          <w:p>
            <w:r>
              <w:rPr>
                <w:b/>
                <w:bCs/>
                <w:color w:val="FFFFFF"/>
                <w:sz w:val="20"/>
                <w:szCs w:val="20"/>
              </w:rPr>
              <w:t xml:space="preserve">Confirmation</w:t>
            </w:r>
          </w:p>
        </w:tc>
      </w:tr>
      <w:tr>
        <w:tc>
          <w:tcPr>
            <w:tcW w:type="dxa" w:w="2700"/>
            <w:vAlign w:val="center"/>
          </w:tcPr>
          <w:p>
            <w:r>
              <w:rPr>
                <w:b w:val="false"/>
                <w:bCs w:val="false"/>
                <w:color w:val="000000"/>
                <w:sz w:val="20"/>
                <w:szCs w:val="20"/>
              </w:rPr>
              <w:t xml:space="preserve">Abdullah → Carlos, Ahmed, instructors</w:t>
            </w:r>
          </w:p>
        </w:tc>
        <w:tc>
          <w:tcPr>
            <w:tcW w:type="dxa" w:w="3900"/>
            <w:vAlign w:val="center"/>
          </w:tcPr>
          <w:p>
            <w:r>
              <w:rPr>
                <w:b w:val="false"/>
                <w:bCs w:val="false"/>
                <w:color w:val="000000"/>
                <w:sz w:val="20"/>
                <w:szCs w:val="20"/>
              </w:rPr>
              <w:t xml:space="preserve">Training direction, program updates, and any decision from Dakhil affecting training.</w:t>
            </w:r>
          </w:p>
        </w:tc>
        <w:tc>
          <w:tcPr>
            <w:tcW w:type="dxa" w:w="2700"/>
            <w:vAlign w:val="center"/>
          </w:tcPr>
          <w:p>
            <w:r>
              <w:rPr>
                <w:b w:val="false"/>
                <w:bCs w:val="false"/>
                <w:color w:val="000000"/>
                <w:sz w:val="20"/>
                <w:szCs w:val="20"/>
              </w:rPr>
              <w:t xml:space="preserve">Verbal confirmation, logged by Abdullah.</w:t>
            </w:r>
          </w:p>
        </w:tc>
      </w:tr>
      <w:tr>
        <w:tc>
          <w:tcPr>
            <w:tcW w:type="dxa" w:w="2700"/>
            <w:shd w:fill="EAF0F6" w:color="auto" w:val="clear"/>
            <w:vAlign w:val="center"/>
          </w:tcPr>
          <w:p>
            <w:r>
              <w:rPr>
                <w:b w:val="false"/>
                <w:bCs w:val="false"/>
                <w:color w:val="000000"/>
                <w:sz w:val="20"/>
                <w:szCs w:val="20"/>
              </w:rPr>
              <w:t xml:space="preserve">Abdullah → Roaa (coaching instructions)</w:t>
            </w:r>
          </w:p>
        </w:tc>
        <w:tc>
          <w:tcPr>
            <w:tcW w:type="dxa" w:w="3900"/>
            <w:shd w:fill="EAF0F6" w:color="auto" w:val="clear"/>
            <w:vAlign w:val="center"/>
          </w:tcPr>
          <w:p>
            <w:r>
              <w:rPr>
                <w:b w:val="false"/>
                <w:bCs w:val="false"/>
                <w:color w:val="000000"/>
                <w:sz w:val="20"/>
                <w:szCs w:val="20"/>
              </w:rPr>
              <w:t xml:space="preserve">Coaching direction and schedule. Also copied to Nasser per Section 5.3.</w:t>
            </w:r>
          </w:p>
        </w:tc>
        <w:tc>
          <w:tcPr>
            <w:tcW w:type="dxa" w:w="2700"/>
            <w:shd w:fill="EAF0F6" w:color="auto" w:val="clear"/>
            <w:vAlign w:val="center"/>
          </w:tcPr>
          <w:p>
            <w:r>
              <w:rPr>
                <w:b w:val="false"/>
                <w:bCs w:val="false"/>
                <w:color w:val="000000"/>
                <w:sz w:val="20"/>
                <w:szCs w:val="20"/>
              </w:rPr>
              <w:t xml:space="preserve">Roaa confirms; copy sent to Nasser.</w:t>
            </w:r>
          </w:p>
        </w:tc>
      </w:tr>
      <w:tr>
        <w:tc>
          <w:tcPr>
            <w:tcW w:type="dxa" w:w="2700"/>
            <w:vAlign w:val="center"/>
          </w:tcPr>
          <w:p>
            <w:r>
              <w:rPr>
                <w:b w:val="false"/>
                <w:bCs w:val="false"/>
                <w:color w:val="000000"/>
                <w:sz w:val="20"/>
                <w:szCs w:val="20"/>
              </w:rPr>
              <w:t xml:space="preserve">Nasser → Verna, Tareq</w:t>
            </w:r>
          </w:p>
        </w:tc>
        <w:tc>
          <w:tcPr>
            <w:tcW w:type="dxa" w:w="3900"/>
            <w:vAlign w:val="center"/>
          </w:tcPr>
          <w:p>
            <w:r>
              <w:rPr>
                <w:b w:val="false"/>
                <w:bCs w:val="false"/>
                <w:color w:val="000000"/>
                <w:sz w:val="20"/>
                <w:szCs w:val="20"/>
              </w:rPr>
              <w:t xml:space="preserve">Operations direction, bookings, and member-process updates.</w:t>
            </w:r>
          </w:p>
        </w:tc>
        <w:tc>
          <w:tcPr>
            <w:tcW w:type="dxa" w:w="2700"/>
            <w:vAlign w:val="center"/>
          </w:tcPr>
          <w:p>
            <w:r>
              <w:rPr>
                <w:b w:val="false"/>
                <w:bCs w:val="false"/>
                <w:color w:val="000000"/>
                <w:sz w:val="20"/>
                <w:szCs w:val="20"/>
              </w:rPr>
              <w:t xml:space="preserve">Verbal confirmation, logged by Nasser.</w:t>
            </w:r>
          </w:p>
        </w:tc>
      </w:tr>
      <w:tr>
        <w:tc>
          <w:tcPr>
            <w:tcW w:type="dxa" w:w="2700"/>
            <w:shd w:fill="EAF0F6" w:color="auto" w:val="clear"/>
            <w:vAlign w:val="center"/>
          </w:tcPr>
          <w:p>
            <w:r>
              <w:rPr>
                <w:b w:val="false"/>
                <w:bCs w:val="false"/>
                <w:color w:val="000000"/>
                <w:sz w:val="20"/>
                <w:szCs w:val="20"/>
              </w:rPr>
              <w:t xml:space="preserve">Nasser → Roaa (Operations instructions)</w:t>
            </w:r>
          </w:p>
        </w:tc>
        <w:tc>
          <w:tcPr>
            <w:tcW w:type="dxa" w:w="3900"/>
            <w:shd w:fill="EAF0F6" w:color="auto" w:val="clear"/>
            <w:vAlign w:val="center"/>
          </w:tcPr>
          <w:p>
            <w:r>
              <w:rPr>
                <w:b w:val="false"/>
                <w:bCs w:val="false"/>
                <w:color w:val="000000"/>
                <w:sz w:val="20"/>
                <w:szCs w:val="20"/>
              </w:rPr>
              <w:t xml:space="preserve">Operations tasks and priorities. Also visible to Abdullah if it affects coaching.</w:t>
            </w:r>
          </w:p>
        </w:tc>
        <w:tc>
          <w:tcPr>
            <w:tcW w:type="dxa" w:w="2700"/>
            <w:shd w:fill="EAF0F6" w:color="auto" w:val="clear"/>
            <w:vAlign w:val="center"/>
          </w:tcPr>
          <w:p>
            <w:r>
              <w:rPr>
                <w:b w:val="false"/>
                <w:bCs w:val="false"/>
                <w:color w:val="000000"/>
                <w:sz w:val="20"/>
                <w:szCs w:val="20"/>
              </w:rPr>
              <w:t xml:space="preserve">Roaa confirms; Abdullah notified if relevant.</w:t>
            </w:r>
          </w:p>
        </w:tc>
      </w:tr>
      <w:tr>
        <w:tc>
          <w:tcPr>
            <w:tcW w:type="dxa" w:w="2700"/>
            <w:vAlign w:val="center"/>
          </w:tcPr>
          <w:p>
            <w:r>
              <w:rPr>
                <w:b w:val="false"/>
                <w:bCs w:val="false"/>
                <w:color w:val="000000"/>
                <w:sz w:val="20"/>
                <w:szCs w:val="20"/>
              </w:rPr>
              <w:t xml:space="preserve">Maryam → Ayaa</w:t>
            </w:r>
          </w:p>
        </w:tc>
        <w:tc>
          <w:tcPr>
            <w:tcW w:type="dxa" w:w="3900"/>
            <w:vAlign w:val="center"/>
          </w:tcPr>
          <w:p>
            <w:r>
              <w:rPr>
                <w:b w:val="false"/>
                <w:bCs w:val="false"/>
                <w:color w:val="000000"/>
                <w:sz w:val="20"/>
                <w:szCs w:val="20"/>
              </w:rPr>
              <w:t xml:space="preserve">Marketing strategy and campaign direction.</w:t>
            </w:r>
          </w:p>
        </w:tc>
        <w:tc>
          <w:tcPr>
            <w:tcW w:type="dxa" w:w="2700"/>
            <w:vAlign w:val="center"/>
          </w:tcPr>
          <w:p>
            <w:r>
              <w:rPr>
                <w:b w:val="false"/>
                <w:bCs w:val="false"/>
                <w:color w:val="000000"/>
                <w:sz w:val="20"/>
                <w:szCs w:val="20"/>
              </w:rPr>
              <w:t xml:space="preserve">Ayaa confirms implementation.</w:t>
            </w:r>
          </w:p>
        </w:tc>
      </w:tr>
      <w:tr>
        <w:tc>
          <w:tcPr>
            <w:tcW w:type="dxa" w:w="2700"/>
            <w:shd w:fill="EAF0F6" w:color="auto" w:val="clear"/>
            <w:vAlign w:val="center"/>
          </w:tcPr>
          <w:p>
            <w:r>
              <w:rPr>
                <w:b w:val="false"/>
                <w:bCs w:val="false"/>
                <w:color w:val="000000"/>
                <w:sz w:val="20"/>
                <w:szCs w:val="20"/>
              </w:rPr>
              <w:t xml:space="preserve">Saud → his team</w:t>
            </w:r>
          </w:p>
        </w:tc>
        <w:tc>
          <w:tcPr>
            <w:tcW w:type="dxa" w:w="3900"/>
            <w:shd w:fill="EAF0F6" w:color="auto" w:val="clear"/>
            <w:vAlign w:val="center"/>
          </w:tcPr>
          <w:p>
            <w:r>
              <w:rPr>
                <w:b w:val="false"/>
                <w:bCs w:val="false"/>
                <w:color w:val="000000"/>
                <w:sz w:val="20"/>
                <w:szCs w:val="20"/>
              </w:rPr>
              <w:t xml:space="preserve">Not yet applicable — no subordinates defined under Systems &amp; IT yet.</w:t>
            </w:r>
          </w:p>
        </w:tc>
        <w:tc>
          <w:tcPr>
            <w:tcW w:type="dxa" w:w="2700"/>
            <w:shd w:fill="EAF0F6" w:color="auto" w:val="clear"/>
            <w:vAlign w:val="center"/>
          </w:tcPr>
          <w:p>
            <w:r>
              <w:rPr>
                <w:b w:val="false"/>
                <w:bCs w:val="false"/>
                <w:color w:val="000000"/>
                <w:sz w:val="20"/>
                <w:szCs w:val="20"/>
              </w:rPr>
              <w:t xml:space="preserve">To be added once the function's scope and team are confirmed.</w:t>
            </w:r>
          </w:p>
        </w:tc>
      </w:tr>
    </w:tbl>
    <w:p>
      <w:pPr>
        <w:spacing w:after="140"/>
      </w:pPr>
      <w:r>
        <w:rPr>
          <w:b w:val="false"/>
          <w:bCs w:val="false"/>
          <w:i w:val="false"/>
          <w:iCs w:val="false"/>
        </w:rPr>
        <w:t xml:space="preserve">Confirmed: 2 working days is the cascade window for downward communication.</w:t>
      </w:r>
    </w:p>
    <w:p>
      <w:pPr>
        <w:pStyle w:val="Heading1"/>
        <w:spacing w:after="160" w:before="320"/>
      </w:pPr>
      <w:r>
        <w:t xml:space="preserve">5. Lateral Communication — Across the Leads</w:t>
      </w:r>
    </w:p>
    <w:p>
      <w:pPr>
        <w:spacing w:after="140"/>
      </w:pPr>
      <w:r>
        <w:rPr>
          <w:b w:val="false"/>
          <w:bCs w:val="false"/>
          <w:i w:val="false"/>
          <w:iCs w:val="false"/>
        </w:rPr>
        <w:t xml:space="preserve">The four function leads coordinate directly with each other so that Training, Operations, Marketing, and Systems &amp; IT move as one system, not four separate departments.</w:t>
      </w:r>
    </w:p>
    <w:p>
      <w:pPr>
        <w:pStyle w:val="Heading2"/>
        <w:spacing w:after="100" w:before="220"/>
      </w:pPr>
      <w:r>
        <w:t xml:space="preserve">5.1 Standing Cross-Functional Sync</w:t>
      </w:r>
    </w:p>
    <w:p>
      <w:pPr>
        <w:spacing w:after="140"/>
      </w:pPr>
      <w:r>
        <w:rPr>
          <w:b w:val="false"/>
          <w:bCs w:val="false"/>
          <w:i w:val="false"/>
          <w:iCs w:val="false"/>
        </w:rPr>
        <w:t xml:space="preserve">All four leads and Dakhil hold a monthly management meeting (as established in the Meeting #3 / Management Meeting notes, now on the same monthly cadence as Section 4.1.1) to review the month across all four functions and translate decisions into the org chart and procedures. Between meetings, any urgent cross-functional item is coordinated directly between the relevant leads by email, phone call, or phone message (SMS/WhatsApp) — whichever reaches the other lead fastest. It does not wait for the next standing meeting.</w:t>
      </w:r>
    </w:p>
    <w:p>
      <w:pPr>
        <w:pStyle w:val="Heading2"/>
        <w:spacing w:after="100" w:before="220"/>
      </w:pPr>
      <w:r>
        <w:t xml:space="preserve">5.2 Handoffs Between Leads</w:t>
      </w:r>
    </w:p>
    <w:p>
      <w:pPr>
        <w:spacing w:after="160"/>
        <w:jc w:val="center"/>
      </w:pPr>
      <w:r>
        <w:drawing>
          <wp:inline distT="0" distB="0" distL="0" distR="0">
            <wp:extent cx="4762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85925"/>
                    </a:xfrm>
                    <a:prstGeom prst="rect">
                      <a:avLst/>
                    </a:prstGeom>
                  </pic:spPr>
                </pic:pic>
              </a:graphicData>
            </a:graphic>
          </wp:inline>
        </w:drawing>
      </w:r>
    </w:p>
    <w:p>
      <w:pPr>
        <w:spacing w:after="140"/>
      </w:pPr>
      <w:r>
        <w:rPr>
          <w:b w:val="false"/>
          <w:bCs w:val="false"/>
          <w:i w:val="false"/>
          <w:iCs w:val="false"/>
        </w:rPr>
        <w:t xml:space="preserve">Every recurring handoff between the four leads, with the confirmation step that closes it — the content of the first six rows comes from the playbook, Section 3; the last two are new since Systems &amp; IT was added. Any of these can happen by email, phone call, or phone message (SMS/WhatsApp), whichever gets the information to the receiving lead fastest — the confirmation step is what matters, not the channel used to get there: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00"/>
      </w:tblGrid>
      <w:tr>
        <w:trPr>
          <w:tblHeader/>
        </w:trPr>
        <w:tc>
          <w:tcPr>
            <w:tcW w:type="dxa" w:w="2900"/>
            <w:shd w:fill="1F3A5F" w:color="auto" w:val="clear"/>
            <w:vAlign w:val="center"/>
          </w:tcPr>
          <w:p>
            <w:r>
              <w:rPr>
                <w:b/>
                <w:bCs/>
                <w:color w:val="FFFFFF"/>
                <w:sz w:val="20"/>
                <w:szCs w:val="20"/>
              </w:rPr>
              <w:t xml:space="preserve">From → To</w:t>
            </w:r>
          </w:p>
        </w:tc>
        <w:tc>
          <w:tcPr>
            <w:tcW w:type="dxa" w:w="3600"/>
            <w:shd w:fill="1F3A5F" w:color="auto" w:val="clear"/>
            <w:vAlign w:val="center"/>
          </w:tcPr>
          <w:p>
            <w:r>
              <w:rPr>
                <w:b/>
                <w:bCs/>
                <w:color w:val="FFFFFF"/>
                <w:sz w:val="20"/>
                <w:szCs w:val="20"/>
              </w:rPr>
              <w:t xml:space="preserve">What Moves</w:t>
            </w:r>
          </w:p>
        </w:tc>
        <w:tc>
          <w:tcPr>
            <w:tcW w:type="dxa" w:w="2800"/>
            <w:shd w:fill="1F3A5F" w:color="auto" w:val="clear"/>
            <w:vAlign w:val="center"/>
          </w:tcPr>
          <w:p>
            <w:r>
              <w:rPr>
                <w:b/>
                <w:bCs/>
                <w:color w:val="FFFFFF"/>
                <w:sz w:val="20"/>
                <w:szCs w:val="20"/>
              </w:rPr>
              <w:t xml:space="preserve">Confirmation</w:t>
            </w:r>
          </w:p>
        </w:tc>
      </w:tr>
      <w:tr>
        <w:tc>
          <w:tcPr>
            <w:tcW w:type="dxa" w:w="2900"/>
            <w:vAlign w:val="center"/>
          </w:tcPr>
          <w:p>
            <w:r>
              <w:rPr>
                <w:b w:val="false"/>
                <w:bCs w:val="false"/>
                <w:color w:val="000000"/>
                <w:sz w:val="20"/>
                <w:szCs w:val="20"/>
              </w:rPr>
              <w:t xml:space="preserve">Abdullah (Training) → Maryam (Marketing)</w:t>
            </w:r>
          </w:p>
        </w:tc>
        <w:tc>
          <w:tcPr>
            <w:tcW w:type="dxa" w:w="3600"/>
            <w:vAlign w:val="center"/>
          </w:tcPr>
          <w:p>
            <w:r>
              <w:rPr>
                <w:b w:val="false"/>
                <w:bCs w:val="false"/>
                <w:color w:val="000000"/>
                <w:sz w:val="20"/>
                <w:szCs w:val="20"/>
              </w:rPr>
              <w:t xml:space="preserve">Program knowledge and real progress stories.</w:t>
            </w:r>
          </w:p>
        </w:tc>
        <w:tc>
          <w:tcPr>
            <w:tcW w:type="dxa" w:w="2800"/>
            <w:vAlign w:val="center"/>
          </w:tcPr>
          <w:p>
            <w:r>
              <w:rPr>
                <w:b w:val="false"/>
                <w:bCs w:val="false"/>
                <w:color w:val="000000"/>
                <w:sz w:val="20"/>
                <w:szCs w:val="20"/>
              </w:rPr>
              <w:t xml:space="preserve">Maryam confirms receipt and logs it for the next content cycle.</w:t>
            </w:r>
          </w:p>
        </w:tc>
      </w:tr>
      <w:tr>
        <w:tc>
          <w:tcPr>
            <w:tcW w:type="dxa" w:w="2900"/>
            <w:shd w:fill="EAF0F6" w:color="auto" w:val="clear"/>
            <w:vAlign w:val="center"/>
          </w:tcPr>
          <w:p>
            <w:r>
              <w:rPr>
                <w:b w:val="false"/>
                <w:bCs w:val="false"/>
                <w:color w:val="000000"/>
                <w:sz w:val="20"/>
                <w:szCs w:val="20"/>
              </w:rPr>
              <w:t xml:space="preserve">Maryam (Marketing) → Abdullah (Training)</w:t>
            </w:r>
          </w:p>
        </w:tc>
        <w:tc>
          <w:tcPr>
            <w:tcW w:type="dxa" w:w="3600"/>
            <w:shd w:fill="EAF0F6" w:color="auto" w:val="clear"/>
            <w:vAlign w:val="center"/>
          </w:tcPr>
          <w:p>
            <w:r>
              <w:rPr>
                <w:b w:val="false"/>
                <w:bCs w:val="false"/>
                <w:color w:val="000000"/>
                <w:sz w:val="20"/>
                <w:szCs w:val="20"/>
              </w:rPr>
              <w:t xml:space="preserve">Aligning the marketing message with what is actually taught.</w:t>
            </w:r>
          </w:p>
        </w:tc>
        <w:tc>
          <w:tcPr>
            <w:tcW w:type="dxa" w:w="2800"/>
            <w:shd w:fill="EAF0F6" w:color="auto" w:val="clear"/>
            <w:vAlign w:val="center"/>
          </w:tcPr>
          <w:p>
            <w:r>
              <w:rPr>
                <w:b w:val="false"/>
                <w:bCs w:val="false"/>
                <w:color w:val="000000"/>
                <w:sz w:val="20"/>
                <w:szCs w:val="20"/>
              </w:rPr>
              <w:t xml:space="preserve">Abdullah reviews and confirms the message is accurate.</w:t>
            </w:r>
          </w:p>
        </w:tc>
      </w:tr>
      <w:tr>
        <w:tc>
          <w:tcPr>
            <w:tcW w:type="dxa" w:w="2900"/>
            <w:vAlign w:val="center"/>
          </w:tcPr>
          <w:p>
            <w:r>
              <w:rPr>
                <w:b w:val="false"/>
                <w:bCs w:val="false"/>
                <w:color w:val="000000"/>
                <w:sz w:val="20"/>
                <w:szCs w:val="20"/>
              </w:rPr>
              <w:t xml:space="preserve">Maryam (Marketing) → Nasser (Operations)</w:t>
            </w:r>
          </w:p>
        </w:tc>
        <w:tc>
          <w:tcPr>
            <w:tcW w:type="dxa" w:w="3600"/>
            <w:vAlign w:val="center"/>
          </w:tcPr>
          <w:p>
            <w:r>
              <w:rPr>
                <w:b w:val="false"/>
                <w:bCs w:val="false"/>
                <w:color w:val="000000"/>
                <w:sz w:val="20"/>
                <w:szCs w:val="20"/>
              </w:rPr>
              <w:t xml:space="preserve">Campaigns → leads.</w:t>
            </w:r>
          </w:p>
        </w:tc>
        <w:tc>
          <w:tcPr>
            <w:tcW w:type="dxa" w:w="2800"/>
            <w:vAlign w:val="center"/>
          </w:tcPr>
          <w:p>
            <w:r>
              <w:rPr>
                <w:b w:val="false"/>
                <w:bCs w:val="false"/>
                <w:color w:val="000000"/>
                <w:sz w:val="20"/>
                <w:szCs w:val="20"/>
              </w:rPr>
              <w:t xml:space="preserve">Nasser confirms the leads are logged in SAQR.</w:t>
            </w:r>
          </w:p>
        </w:tc>
      </w:tr>
      <w:tr>
        <w:tc>
          <w:tcPr>
            <w:tcW w:type="dxa" w:w="2900"/>
            <w:shd w:fill="EAF0F6" w:color="auto" w:val="clear"/>
            <w:vAlign w:val="center"/>
          </w:tcPr>
          <w:p>
            <w:r>
              <w:rPr>
                <w:b w:val="false"/>
                <w:bCs w:val="false"/>
                <w:color w:val="000000"/>
                <w:sz w:val="20"/>
                <w:szCs w:val="20"/>
              </w:rPr>
              <w:t xml:space="preserve">Nasser (Operations) → Maryam (Marketing)</w:t>
            </w:r>
          </w:p>
        </w:tc>
        <w:tc>
          <w:tcPr>
            <w:tcW w:type="dxa" w:w="3600"/>
            <w:shd w:fill="EAF0F6" w:color="auto" w:val="clear"/>
            <w:vAlign w:val="center"/>
          </w:tcPr>
          <w:p>
            <w:r>
              <w:rPr>
                <w:b w:val="false"/>
                <w:bCs w:val="false"/>
                <w:color w:val="000000"/>
                <w:sz w:val="20"/>
                <w:szCs w:val="20"/>
              </w:rPr>
              <w:t xml:space="preserve">Conversion results → better campaigns; Tareq's class photos → Ayaa.</w:t>
            </w:r>
          </w:p>
        </w:tc>
        <w:tc>
          <w:tcPr>
            <w:tcW w:type="dxa" w:w="2800"/>
            <w:shd w:fill="EAF0F6" w:color="auto" w:val="clear"/>
            <w:vAlign w:val="center"/>
          </w:tcPr>
          <w:p>
            <w:r>
              <w:rPr>
                <w:b w:val="false"/>
                <w:bCs w:val="false"/>
                <w:color w:val="000000"/>
                <w:sz w:val="20"/>
                <w:szCs w:val="20"/>
              </w:rPr>
              <w:t xml:space="preserve">Maryam confirms receipt and usage.</w:t>
            </w:r>
          </w:p>
        </w:tc>
      </w:tr>
      <w:tr>
        <w:tc>
          <w:tcPr>
            <w:tcW w:type="dxa" w:w="2900"/>
            <w:vAlign w:val="center"/>
          </w:tcPr>
          <w:p>
            <w:r>
              <w:rPr>
                <w:b w:val="false"/>
                <w:bCs w:val="false"/>
                <w:color w:val="000000"/>
                <w:sz w:val="20"/>
                <w:szCs w:val="20"/>
              </w:rPr>
              <w:t xml:space="preserve">Abdullah (Training) → Nasser (Operations)</w:t>
            </w:r>
          </w:p>
        </w:tc>
        <w:tc>
          <w:tcPr>
            <w:tcW w:type="dxa" w:w="3600"/>
            <w:vAlign w:val="center"/>
          </w:tcPr>
          <w:p>
            <w:r>
              <w:rPr>
                <w:b w:val="false"/>
                <w:bCs w:val="false"/>
                <w:color w:val="000000"/>
                <w:sz w:val="20"/>
                <w:szCs w:val="20"/>
              </w:rPr>
              <w:t xml:space="preserve">Attendance, progress, and concerns.</w:t>
            </w:r>
          </w:p>
        </w:tc>
        <w:tc>
          <w:tcPr>
            <w:tcW w:type="dxa" w:w="2800"/>
            <w:vAlign w:val="center"/>
          </w:tcPr>
          <w:p>
            <w:r>
              <w:rPr>
                <w:b w:val="false"/>
                <w:bCs w:val="false"/>
                <w:color w:val="000000"/>
                <w:sz w:val="20"/>
                <w:szCs w:val="20"/>
              </w:rPr>
              <w:t xml:space="preserve">Nasser confirms the update is logged.</w:t>
            </w:r>
          </w:p>
        </w:tc>
      </w:tr>
      <w:tr>
        <w:tc>
          <w:tcPr>
            <w:tcW w:type="dxa" w:w="2900"/>
            <w:shd w:fill="EAF0F6" w:color="auto" w:val="clear"/>
            <w:vAlign w:val="center"/>
          </w:tcPr>
          <w:p>
            <w:r>
              <w:rPr>
                <w:b w:val="false"/>
                <w:bCs w:val="false"/>
                <w:color w:val="000000"/>
                <w:sz w:val="20"/>
                <w:szCs w:val="20"/>
              </w:rPr>
              <w:t xml:space="preserve">Nasser (Operations) → Abdullah (Training)</w:t>
            </w:r>
          </w:p>
        </w:tc>
        <w:tc>
          <w:tcPr>
            <w:tcW w:type="dxa" w:w="3600"/>
            <w:shd w:fill="EAF0F6" w:color="auto" w:val="clear"/>
            <w:vAlign w:val="center"/>
          </w:tcPr>
          <w:p>
            <w:r>
              <w:rPr>
                <w:b w:val="false"/>
                <w:bCs w:val="false"/>
                <w:color w:val="000000"/>
                <w:sz w:val="20"/>
                <w:szCs w:val="20"/>
              </w:rPr>
              <w:t xml:space="preserve">Bookings and member processes.</w:t>
            </w:r>
          </w:p>
        </w:tc>
        <w:tc>
          <w:tcPr>
            <w:tcW w:type="dxa" w:w="2800"/>
            <w:shd w:fill="EAF0F6" w:color="auto" w:val="clear"/>
            <w:vAlign w:val="center"/>
          </w:tcPr>
          <w:p>
            <w:r>
              <w:rPr>
                <w:b w:val="false"/>
                <w:bCs w:val="false"/>
                <w:color w:val="000000"/>
                <w:sz w:val="20"/>
                <w:szCs w:val="20"/>
              </w:rPr>
              <w:t xml:space="preserve">Abdullah confirms the training schedule is updated.</w:t>
            </w:r>
          </w:p>
        </w:tc>
      </w:tr>
      <w:tr>
        <w:tc>
          <w:tcPr>
            <w:tcW w:type="dxa" w:w="2900"/>
            <w:vAlign w:val="center"/>
          </w:tcPr>
          <w:p>
            <w:r>
              <w:rPr>
                <w:b w:val="false"/>
                <w:bCs w:val="false"/>
                <w:color w:val="000000"/>
                <w:sz w:val="20"/>
                <w:szCs w:val="20"/>
              </w:rPr>
              <w:t xml:space="preserve">Any lead → Saud (Systems &amp; IT)</w:t>
            </w:r>
          </w:p>
        </w:tc>
        <w:tc>
          <w:tcPr>
            <w:tcW w:type="dxa" w:w="3600"/>
            <w:vAlign w:val="center"/>
          </w:tcPr>
          <w:p>
            <w:r>
              <w:rPr>
                <w:b w:val="false"/>
                <w:bCs w:val="false"/>
                <w:color w:val="000000"/>
                <w:sz w:val="20"/>
                <w:szCs w:val="20"/>
              </w:rPr>
              <w:t xml:space="preserve">Requests for new tools, system changes, or technical support.</w:t>
            </w:r>
          </w:p>
        </w:tc>
        <w:tc>
          <w:tcPr>
            <w:tcW w:type="dxa" w:w="2800"/>
            <w:vAlign w:val="center"/>
          </w:tcPr>
          <w:p>
            <w:r>
              <w:rPr>
                <w:b w:val="false"/>
                <w:bCs w:val="false"/>
                <w:color w:val="000000"/>
                <w:sz w:val="20"/>
                <w:szCs w:val="20"/>
              </w:rPr>
              <w:t xml:space="preserve">Saud logs the request and confirms a timeline before starting.</w:t>
            </w:r>
          </w:p>
        </w:tc>
      </w:tr>
      <w:tr>
        <w:tc>
          <w:tcPr>
            <w:tcW w:type="dxa" w:w="2900"/>
            <w:shd w:fill="EAF0F6" w:color="auto" w:val="clear"/>
            <w:vAlign w:val="center"/>
          </w:tcPr>
          <w:p>
            <w:r>
              <w:rPr>
                <w:b w:val="false"/>
                <w:bCs w:val="false"/>
                <w:color w:val="000000"/>
                <w:sz w:val="20"/>
                <w:szCs w:val="20"/>
              </w:rPr>
              <w:t xml:space="preserve">Saud (Systems &amp; IT) → affected lead(s)</w:t>
            </w:r>
          </w:p>
        </w:tc>
        <w:tc>
          <w:tcPr>
            <w:tcW w:type="dxa" w:w="3600"/>
            <w:shd w:fill="EAF0F6" w:color="auto" w:val="clear"/>
            <w:vAlign w:val="center"/>
          </w:tcPr>
          <w:p>
            <w:r>
              <w:rPr>
                <w:b w:val="false"/>
                <w:bCs w:val="false"/>
                <w:color w:val="000000"/>
                <w:sz w:val="20"/>
                <w:szCs w:val="20"/>
              </w:rPr>
              <w:t xml:space="preserve">Notice before any system or tool change that affects their team.</w:t>
            </w:r>
          </w:p>
        </w:tc>
        <w:tc>
          <w:tcPr>
            <w:tcW w:type="dxa" w:w="2800"/>
            <w:shd w:fill="EAF0F6" w:color="auto" w:val="clear"/>
            <w:vAlign w:val="center"/>
          </w:tcPr>
          <w:p>
            <w:r>
              <w:rPr>
                <w:b w:val="false"/>
                <w:bCs w:val="false"/>
                <w:color w:val="000000"/>
                <w:sz w:val="20"/>
                <w:szCs w:val="20"/>
              </w:rPr>
              <w:t xml:space="preserve">Affected lead confirms awareness before the change goes live.</w:t>
            </w:r>
          </w:p>
        </w:tc>
      </w:tr>
    </w:tbl>
    <w:p>
      <w:pPr>
        <w:pStyle w:val="Heading2"/>
        <w:spacing w:after="100" w:before="220"/>
      </w:pPr>
      <w:r>
        <w:t xml:space="preserve">5.3 Roaa's Dual Line</w:t>
      </w:r>
    </w:p>
    <w:p>
      <w:pPr>
        <w:spacing w:after="140"/>
      </w:pPr>
      <w:r>
        <w:rPr>
          <w:b w:val="false"/>
          <w:bCs w:val="false"/>
          <w:i w:val="false"/>
          <w:iCs w:val="false"/>
        </w:rPr>
        <w:t xml:space="preserve">Roaa reports to Nasser (Operations) and also coaches under Abdullah (Training). To prevent conflicting instructions:</w:t>
      </w:r>
    </w:p>
    <w:p>
      <w:pPr>
        <w:pStyle w:val="ListParagraph"/>
        <w:numPr>
          <w:ilvl w:val="0"/>
          <w:numId w:val="2"/>
        </w:numPr>
        <w:spacing w:after="70"/>
      </w:pPr>
      <w:r>
        <w:t xml:space="preserve">Any instruction Abdullah gives Roaa in her coaching capacity is also logged or copied to Nasser.</w:t>
      </w:r>
    </w:p>
    <w:p>
      <w:pPr>
        <w:pStyle w:val="ListParagraph"/>
        <w:numPr>
          <w:ilvl w:val="0"/>
          <w:numId w:val="2"/>
        </w:numPr>
        <w:spacing w:after="70"/>
      </w:pPr>
      <w:r>
        <w:t xml:space="preserve">Any instruction Nasser gives Roaa in her Operations capacity is also visible to Abdullah if it affects her coaching schedule.</w:t>
      </w:r>
    </w:p>
    <w:p>
      <w:pPr>
        <w:pBdr>
          <w:left w:val="single" w:color="B7791F" w:sz="12" w:space="8"/>
        </w:pBdr>
        <w:spacing w:after="160"/>
        <w:ind w:left="200"/>
      </w:pPr>
      <w:r>
        <w:rPr>
          <w:i/>
          <w:iCs/>
          <w:color w:val="555555"/>
        </w:rPr>
        <w:t xml:space="preserve">TO CONFIRM — the exact mechanism (email cc, a shared log, or a brief weekly note) for keeping both leads visible on Roaa's instructions should be picked by Nasser and Abdullah together.</w:t>
      </w:r>
    </w:p>
    <w:p>
      <w:pPr>
        <w:pStyle w:val="Heading1"/>
        <w:spacing w:after="160" w:before="320"/>
      </w:pPr>
      <w:r>
        <w:t xml:space="preserve">6. Upward Communication — Bottom to Top</w:t>
      </w:r>
    </w:p>
    <w:p>
      <w:pPr>
        <w:spacing w:after="140"/>
      </w:pPr>
      <w:r>
        <w:rPr>
          <w:b w:val="false"/>
          <w:bCs w:val="false"/>
          <w:i w:val="false"/>
          <w:iCs w:val="false"/>
        </w:rPr>
        <w:t xml:space="preserve">Information from the floor must reach leadership reliably, on two speeds: routine (scheduled) and urgent (immediate).</w:t>
      </w:r>
    </w:p>
    <w:p>
      <w:pPr>
        <w:pStyle w:val="Heading2"/>
        <w:spacing w:after="100" w:before="220"/>
      </w:pPr>
      <w:r>
        <w:t xml:space="preserve">6.1 Routine Reporting</w:t>
      </w:r>
    </w:p>
    <w:p>
      <w:pPr>
        <w:spacing w:after="140"/>
      </w:pPr>
      <w:r>
        <w:rPr>
          <w:b w:val="false"/>
          <w:bCs w:val="false"/>
          <w:i w:val="false"/>
          <w:iCs w:val="false"/>
        </w:rPr>
        <w:t xml:space="preserve">Routine reporting runs on the same two-channel pattern as the downward direction: a monthly report for the full picture, and email in between for anything that shouldn't wait a month.</w:t>
      </w:r>
    </w:p>
    <w:p>
      <w:pPr>
        <w:spacing w:after="160"/>
        <w:jc w:val="center"/>
      </w:pPr>
      <w:r>
        <w:drawing>
          <wp:inline distT="0" distB="0" distL="0" distR="0">
            <wp:extent cx="4762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62125"/>
                    </a:xfrm>
                    <a:prstGeom prst="rect">
                      <a:avLst/>
                    </a:prstGeom>
                  </pic:spPr>
                </pic:pic>
              </a:graphicData>
            </a:graphic>
          </wp:inline>
        </w:drawing>
      </w:r>
    </w:p>
    <w:p>
      <w:pPr>
        <w:pStyle w:val="Heading2"/>
        <w:spacing w:after="100" w:before="220"/>
      </w:pPr>
      <w:r>
        <w:t xml:space="preserve">6.1.1 Monthly Reporting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00"/>
      </w:tblGrid>
      <w:tr>
        <w:trPr>
          <w:tblHeader/>
        </w:trPr>
        <w:tc>
          <w:tcPr>
            <w:tcW w:type="dxa" w:w="2600"/>
            <w:shd w:fill="1F3A5F" w:color="auto" w:val="clear"/>
            <w:vAlign w:val="center"/>
          </w:tcPr>
          <w:p>
            <w:r>
              <w:rPr>
                <w:b/>
                <w:bCs/>
                <w:color w:val="FFFFFF"/>
                <w:sz w:val="20"/>
                <w:szCs w:val="20"/>
              </w:rPr>
              <w:t xml:space="preserve">From → To</w:t>
            </w:r>
          </w:p>
        </w:tc>
        <w:tc>
          <w:tcPr>
            <w:tcW w:type="dxa" w:w="4600"/>
            <w:shd w:fill="1F3A5F" w:color="auto" w:val="clear"/>
            <w:vAlign w:val="center"/>
          </w:tcPr>
          <w:p>
            <w:r>
              <w:rPr>
                <w:b/>
                <w:bCs/>
                <w:color w:val="FFFFFF"/>
                <w:sz w:val="20"/>
                <w:szCs w:val="20"/>
              </w:rPr>
              <w:t xml:space="preserve">What Moves</w:t>
            </w:r>
          </w:p>
        </w:tc>
        <w:tc>
          <w:tcPr>
            <w:tcW w:type="dxa" w:w="2100"/>
            <w:shd w:fill="1F3A5F" w:color="auto" w:val="clear"/>
            <w:vAlign w:val="center"/>
          </w:tcPr>
          <w:p>
            <w:r>
              <w:rPr>
                <w:b/>
                <w:bCs/>
                <w:color w:val="FFFFFF"/>
                <w:sz w:val="20"/>
                <w:szCs w:val="20"/>
              </w:rPr>
              <w:t xml:space="preserve">Frequency</w:t>
            </w:r>
          </w:p>
        </w:tc>
      </w:tr>
      <w:tr>
        <w:tc>
          <w:tcPr>
            <w:tcW w:type="dxa" w:w="2600"/>
            <w:vAlign w:val="center"/>
          </w:tcPr>
          <w:p>
            <w:r>
              <w:rPr>
                <w:b w:val="false"/>
                <w:bCs w:val="false"/>
                <w:color w:val="000000"/>
                <w:sz w:val="20"/>
                <w:szCs w:val="20"/>
              </w:rPr>
              <w:t xml:space="preserve">Staff → their function lead</w:t>
            </w:r>
          </w:p>
        </w:tc>
        <w:tc>
          <w:tcPr>
            <w:tcW w:type="dxa" w:w="4600"/>
            <w:vAlign w:val="center"/>
          </w:tcPr>
          <w:p>
            <w:r>
              <w:rPr>
                <w:b w:val="false"/>
                <w:bCs w:val="false"/>
                <w:color w:val="000000"/>
                <w:sz w:val="20"/>
                <w:szCs w:val="20"/>
              </w:rPr>
              <w:t xml:space="preserve">Attendance, progress, bookings, routine concerns (per playbook Sections 3 &amp; 5).</w:t>
            </w:r>
          </w:p>
        </w:tc>
        <w:tc>
          <w:tcPr>
            <w:tcW w:type="dxa" w:w="2100"/>
            <w:vAlign w:val="center"/>
          </w:tcPr>
          <w:p>
            <w:r>
              <w:rPr>
                <w:b w:val="false"/>
                <w:bCs w:val="false"/>
                <w:color w:val="000000"/>
                <w:sz w:val="20"/>
                <w:szCs w:val="20"/>
              </w:rPr>
              <w:t xml:space="preserve">Ongoing / per class or shift.</w:t>
            </w:r>
          </w:p>
        </w:tc>
      </w:tr>
      <w:tr>
        <w:tc>
          <w:tcPr>
            <w:tcW w:type="dxa" w:w="2600"/>
            <w:shd w:fill="EAF0F6" w:color="auto" w:val="clear"/>
            <w:vAlign w:val="center"/>
          </w:tcPr>
          <w:p>
            <w:r>
              <w:rPr>
                <w:b w:val="false"/>
                <w:bCs w:val="false"/>
                <w:color w:val="000000"/>
                <w:sz w:val="20"/>
                <w:szCs w:val="20"/>
              </w:rPr>
              <w:t xml:space="preserve">Abdullah → Dakhil</w:t>
            </w:r>
          </w:p>
        </w:tc>
        <w:tc>
          <w:tcPr>
            <w:tcW w:type="dxa" w:w="4600"/>
            <w:shd w:fill="EAF0F6" w:color="auto" w:val="clear"/>
            <w:vAlign w:val="center"/>
          </w:tcPr>
          <w:p>
            <w:r>
              <w:rPr>
                <w:b w:val="false"/>
                <w:bCs w:val="false"/>
                <w:color w:val="000000"/>
                <w:sz w:val="20"/>
                <w:szCs w:val="20"/>
              </w:rPr>
              <w:t xml:space="preserve">Summary of attendance trends and unresolved concerns.</w:t>
            </w:r>
          </w:p>
        </w:tc>
        <w:tc>
          <w:tcPr>
            <w:tcW w:type="dxa" w:w="2100"/>
            <w:shd w:fill="EAF0F6" w:color="auto" w:val="clear"/>
            <w:vAlign w:val="center"/>
          </w:tcPr>
          <w:p>
            <w:r>
              <w:rPr>
                <w:b w:val="false"/>
                <w:bCs w:val="false"/>
                <w:color w:val="000000"/>
                <w:sz w:val="20"/>
                <w:szCs w:val="20"/>
              </w:rPr>
              <w:t xml:space="preserve">Monthly.</w:t>
            </w:r>
          </w:p>
        </w:tc>
      </w:tr>
      <w:tr>
        <w:tc>
          <w:tcPr>
            <w:tcW w:type="dxa" w:w="2600"/>
            <w:vAlign w:val="center"/>
          </w:tcPr>
          <w:p>
            <w:r>
              <w:rPr>
                <w:b w:val="false"/>
                <w:bCs w:val="false"/>
                <w:color w:val="000000"/>
                <w:sz w:val="20"/>
                <w:szCs w:val="20"/>
              </w:rPr>
              <w:t xml:space="preserve">Nasser → Dakhil</w:t>
            </w:r>
          </w:p>
        </w:tc>
        <w:tc>
          <w:tcPr>
            <w:tcW w:type="dxa" w:w="4600"/>
            <w:vAlign w:val="center"/>
          </w:tcPr>
          <w:p>
            <w:r>
              <w:rPr>
                <w:b w:val="false"/>
                <w:bCs w:val="false"/>
                <w:color w:val="000000"/>
                <w:sz w:val="20"/>
                <w:szCs w:val="20"/>
              </w:rPr>
              <w:t xml:space="preserve">Summary of leads, conversion, and retention.</w:t>
            </w:r>
          </w:p>
        </w:tc>
        <w:tc>
          <w:tcPr>
            <w:tcW w:type="dxa" w:w="2100"/>
            <w:vAlign w:val="center"/>
          </w:tcPr>
          <w:p>
            <w:r>
              <w:rPr>
                <w:b w:val="false"/>
                <w:bCs w:val="false"/>
                <w:color w:val="000000"/>
                <w:sz w:val="20"/>
                <w:szCs w:val="20"/>
              </w:rPr>
              <w:t xml:space="preserve">Monthly.</w:t>
            </w:r>
          </w:p>
        </w:tc>
      </w:tr>
      <w:tr>
        <w:tc>
          <w:tcPr>
            <w:tcW w:type="dxa" w:w="2600"/>
            <w:shd w:fill="EAF0F6" w:color="auto" w:val="clear"/>
            <w:vAlign w:val="center"/>
          </w:tcPr>
          <w:p>
            <w:r>
              <w:rPr>
                <w:b w:val="false"/>
                <w:bCs w:val="false"/>
                <w:color w:val="000000"/>
                <w:sz w:val="20"/>
                <w:szCs w:val="20"/>
              </w:rPr>
              <w:t xml:space="preserve">Maryam → Dakhil</w:t>
            </w:r>
          </w:p>
        </w:tc>
        <w:tc>
          <w:tcPr>
            <w:tcW w:type="dxa" w:w="4600"/>
            <w:shd w:fill="EAF0F6" w:color="auto" w:val="clear"/>
            <w:vAlign w:val="center"/>
          </w:tcPr>
          <w:p>
            <w:r>
              <w:rPr>
                <w:b w:val="false"/>
                <w:bCs w:val="false"/>
                <w:color w:val="000000"/>
                <w:sz w:val="20"/>
                <w:szCs w:val="20"/>
              </w:rPr>
              <w:t xml:space="preserve">Summary of campaign results and community growth.</w:t>
            </w:r>
          </w:p>
        </w:tc>
        <w:tc>
          <w:tcPr>
            <w:tcW w:type="dxa" w:w="2100"/>
            <w:shd w:fill="EAF0F6" w:color="auto" w:val="clear"/>
            <w:vAlign w:val="center"/>
          </w:tcPr>
          <w:p>
            <w:r>
              <w:rPr>
                <w:b w:val="false"/>
                <w:bCs w:val="false"/>
                <w:color w:val="000000"/>
                <w:sz w:val="20"/>
                <w:szCs w:val="20"/>
              </w:rPr>
              <w:t xml:space="preserve">Monthly.</w:t>
            </w:r>
          </w:p>
        </w:tc>
      </w:tr>
      <w:tr>
        <w:tc>
          <w:tcPr>
            <w:tcW w:type="dxa" w:w="2600"/>
            <w:vAlign w:val="center"/>
          </w:tcPr>
          <w:p>
            <w:r>
              <w:rPr>
                <w:b w:val="false"/>
                <w:bCs w:val="false"/>
                <w:color w:val="000000"/>
                <w:sz w:val="20"/>
                <w:szCs w:val="20"/>
              </w:rPr>
              <w:t xml:space="preserve">Saud → Dakhil</w:t>
            </w:r>
          </w:p>
        </w:tc>
        <w:tc>
          <w:tcPr>
            <w:tcW w:type="dxa" w:w="4600"/>
            <w:vAlign w:val="center"/>
          </w:tcPr>
          <w:p>
            <w:r>
              <w:rPr>
                <w:b w:val="false"/>
                <w:bCs w:val="false"/>
                <w:color w:val="000000"/>
                <w:sz w:val="20"/>
                <w:szCs w:val="20"/>
              </w:rPr>
              <w:t xml:space="preserve">Summary of systems/IT status and any open requests.</w:t>
            </w:r>
          </w:p>
        </w:tc>
        <w:tc>
          <w:tcPr>
            <w:tcW w:type="dxa" w:w="2100"/>
            <w:vAlign w:val="center"/>
          </w:tcPr>
          <w:p>
            <w:r>
              <w:rPr>
                <w:b w:val="false"/>
                <w:bCs w:val="false"/>
                <w:color w:val="000000"/>
                <w:sz w:val="20"/>
                <w:szCs w:val="20"/>
              </w:rPr>
              <w:t xml:space="preserve">Cadence to be confirmed once scope is defined.</w:t>
            </w:r>
          </w:p>
        </w:tc>
      </w:tr>
    </w:tbl>
    <w:p>
      <w:pPr>
        <w:pStyle w:val="Heading2"/>
        <w:spacing w:after="100" w:before="220"/>
      </w:pPr>
      <w:r>
        <w:t xml:space="preserve">6.1.2 Email — Between Reports</w:t>
      </w:r>
    </w:p>
    <w:p>
      <w:pPr>
        <w:spacing w:after="140"/>
      </w:pPr>
      <w:r>
        <w:rPr>
          <w:b w:val="false"/>
          <w:bCs w:val="false"/>
          <w:i w:val="false"/>
          <w:iCs w:val="false"/>
        </w:rPr>
        <w:t xml:space="preserve">A month is too long to sit on an update, an issue, or anything urgent, so email carries those in the gap between monthly reports — the same principle used for downward communication in Section 4.1.2.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400"/>
        <w:gridCol w:w="2800"/>
      </w:tblGrid>
      <w:tr>
        <w:trPr>
          <w:tblHeader/>
        </w:trPr>
        <w:tc>
          <w:tcPr>
            <w:tcW w:type="dxa" w:w="2200"/>
            <w:shd w:fill="1F3A5F" w:color="auto" w:val="clear"/>
            <w:vAlign w:val="center"/>
          </w:tcPr>
          <w:p>
            <w:r>
              <w:rPr>
                <w:b/>
                <w:bCs/>
                <w:color w:val="FFFFFF"/>
                <w:sz w:val="20"/>
                <w:szCs w:val="20"/>
              </w:rPr>
              <w:t xml:space="preserve">From → To</w:t>
            </w:r>
          </w:p>
        </w:tc>
        <w:tc>
          <w:tcPr>
            <w:tcW w:type="dxa" w:w="3900"/>
            <w:shd w:fill="1F3A5F" w:color="auto" w:val="clear"/>
            <w:vAlign w:val="center"/>
          </w:tcPr>
          <w:p>
            <w:r>
              <w:rPr>
                <w:b/>
                <w:bCs/>
                <w:color w:val="FFFFFF"/>
                <w:sz w:val="20"/>
                <w:szCs w:val="20"/>
              </w:rPr>
              <w:t xml:space="preserve">What Moves</w:t>
            </w:r>
          </w:p>
        </w:tc>
        <w:tc>
          <w:tcPr>
            <w:tcW w:type="dxa" w:w="1400"/>
            <w:shd w:fill="1F3A5F" w:color="auto" w:val="clear"/>
            <w:vAlign w:val="center"/>
          </w:tcPr>
          <w:p>
            <w:r>
              <w:rPr>
                <w:b/>
                <w:bCs/>
                <w:color w:val="FFFFFF"/>
                <w:sz w:val="20"/>
                <w:szCs w:val="20"/>
              </w:rPr>
              <w:t xml:space="preserve">Channel</w:t>
            </w:r>
          </w:p>
        </w:tc>
        <w:tc>
          <w:tcPr>
            <w:tcW w:type="dxa" w:w="2800"/>
            <w:shd w:fill="1F3A5F" w:color="auto" w:val="clear"/>
            <w:vAlign w:val="center"/>
          </w:tcPr>
          <w:p>
            <w:r>
              <w:rPr>
                <w:b/>
                <w:bCs/>
                <w:color w:val="FFFFFF"/>
                <w:sz w:val="20"/>
                <w:szCs w:val="20"/>
              </w:rPr>
              <w:t xml:space="preserve">Confirmation</w:t>
            </w:r>
          </w:p>
        </w:tc>
      </w:tr>
      <w:tr>
        <w:tc>
          <w:tcPr>
            <w:tcW w:type="dxa" w:w="2200"/>
            <w:vAlign w:val="center"/>
          </w:tcPr>
          <w:p>
            <w:r>
              <w:rPr>
                <w:b w:val="false"/>
                <w:bCs w:val="false"/>
                <w:color w:val="000000"/>
                <w:sz w:val="20"/>
                <w:szCs w:val="20"/>
              </w:rPr>
              <w:t xml:space="preserve">Any lead → Dakhil</w:t>
            </w:r>
          </w:p>
        </w:tc>
        <w:tc>
          <w:tcPr>
            <w:tcW w:type="dxa" w:w="3900"/>
            <w:vAlign w:val="center"/>
          </w:tcPr>
          <w:p>
            <w:r>
              <w:rPr>
                <w:b w:val="false"/>
                <w:bCs w:val="false"/>
                <w:color w:val="000000"/>
                <w:sz w:val="20"/>
                <w:szCs w:val="20"/>
              </w:rPr>
              <w:t xml:space="preserve">Updates, issues, or other urgent matters that arise between monthly reports.</w:t>
            </w:r>
          </w:p>
        </w:tc>
        <w:tc>
          <w:tcPr>
            <w:tcW w:type="dxa" w:w="1400"/>
            <w:vAlign w:val="center"/>
          </w:tcPr>
          <w:p>
            <w:r>
              <w:rPr>
                <w:b w:val="false"/>
                <w:bCs w:val="false"/>
                <w:color w:val="000000"/>
                <w:sz w:val="20"/>
                <w:szCs w:val="20"/>
              </w:rPr>
              <w:t xml:space="preserve">Email.</w:t>
            </w:r>
          </w:p>
        </w:tc>
        <w:tc>
          <w:tcPr>
            <w:tcW w:type="dxa" w:w="2800"/>
            <w:vAlign w:val="center"/>
          </w:tcPr>
          <w:p>
            <w:r>
              <w:rPr>
                <w:b w:val="false"/>
                <w:bCs w:val="false"/>
                <w:color w:val="000000"/>
                <w:sz w:val="20"/>
                <w:szCs w:val="20"/>
              </w:rPr>
              <w:t xml:space="preserve">Dakhil (or the Operations Manager on Dakhil's behalf) acknowledges receipt and logs it.</w:t>
            </w:r>
          </w:p>
        </w:tc>
      </w:tr>
    </w:tbl>
    <w:p>
      <w:pPr>
        <w:spacing w:after="140"/>
      </w:pPr>
      <w:r>
        <w:rPr>
          <w:b w:val="false"/>
          <w:bCs w:val="false"/>
          <w:i/>
          <w:iCs/>
        </w:rPr>
        <w:t xml:space="preserve">Safety or conduct concerns always follow the faster escalation path below, regardless of this email channel.</w:t>
      </w:r>
    </w:p>
    <w:p>
      <w:pPr>
        <w:pStyle w:val="Heading2"/>
        <w:spacing w:after="100" w:before="220"/>
      </w:pPr>
      <w:r>
        <w:t xml:space="preserve">6.2 Urgent Escalation</w:t>
      </w:r>
    </w:p>
    <w:p>
      <w:pPr>
        <w:spacing w:after="140"/>
      </w:pPr>
      <w:r>
        <w:rPr>
          <w:b w:val="false"/>
          <w:bCs w:val="false"/>
          <w:i w:val="false"/>
          <w:iCs w:val="false"/>
        </w:rPr>
        <w:t xml:space="preserve">Safety or conduct concerns do not wait for the monthly cycle. This follows the escalation path already set in the playbook, Section 6:</w:t>
      </w:r>
    </w:p>
    <w:p>
      <w:pPr>
        <w:pStyle w:val="ListParagraph"/>
        <w:numPr>
          <w:ilvl w:val="0"/>
          <w:numId w:val="2"/>
        </w:numPr>
        <w:spacing w:after="70"/>
      </w:pPr>
      <w:r>
        <w:t xml:space="preserve">Same-day: any staff member raises a safety or conduct issue to their function lead.</w:t>
      </w:r>
    </w:p>
    <w:p>
      <w:pPr>
        <w:pStyle w:val="ListParagraph"/>
        <w:numPr>
          <w:ilvl w:val="0"/>
          <w:numId w:val="2"/>
        </w:numPr>
        <w:spacing w:after="70"/>
      </w:pPr>
      <w:r>
        <w:t xml:space="preserve">Immediately: the function lead names an owner and logs the concern.</w:t>
      </w:r>
    </w:p>
    <w:p>
      <w:pPr>
        <w:pStyle w:val="ListParagraph"/>
        <w:numPr>
          <w:ilvl w:val="0"/>
          <w:numId w:val="2"/>
        </w:numPr>
        <w:spacing w:after="70"/>
      </w:pPr>
      <w:r>
        <w:t xml:space="preserve">Within 24 hours: anything involving member safety or a possible removal decision reaches Dakhil directly.</w:t>
      </w:r>
    </w:p>
    <w:p>
      <w:pPr>
        <w:pStyle w:val="Heading2"/>
        <w:spacing w:after="100" w:before="220"/>
      </w:pPr>
      <w:r>
        <w:t xml:space="preserve">6.3 A Channel Beyond the Direct Lead</w:t>
      </w:r>
    </w:p>
    <w:p>
      <w:pPr>
        <w:spacing w:after="140"/>
      </w:pPr>
      <w:r>
        <w:rPr>
          <w:b w:val="false"/>
          <w:bCs w:val="false"/>
          <w:i w:val="false"/>
          <w:iCs w:val="false"/>
        </w:rPr>
        <w:t xml:space="preserve">So that a message never dead-ends with one person, staff have a way to raise something with Dakhil directly if it isn't being addressed at the lead level.</w:t>
      </w:r>
    </w:p>
    <w:p>
      <w:pPr>
        <w:spacing w:after="140"/>
      </w:pPr>
      <w:r>
        <w:rPr>
          <w:b w:val="false"/>
          <w:bCs w:val="false"/>
          <w:i w:val="false"/>
          <w:iCs w:val="false"/>
        </w:rPr>
        <w:t xml:space="preserve">Confirmed: if a lead is not answering or not acting on a message, the staff member calls Dakhil directly by phone.</w:t>
      </w:r>
    </w:p>
    <w:p>
      <w:pPr>
        <w:pStyle w:val="Heading1"/>
        <w:spacing w:after="160" w:before="320"/>
      </w:pPr>
      <w:r>
        <w:t xml:space="preserve">7. Closing the Loop — One Shared Standard</w:t>
      </w:r>
    </w:p>
    <w:p>
      <w:pPr>
        <w:spacing w:after="140"/>
      </w:pPr>
      <w:r>
        <w:rPr>
          <w:b w:val="false"/>
          <w:bCs w:val="false"/>
          <w:i w:val="false"/>
          <w:iCs w:val="false"/>
        </w:rPr>
        <w:t xml:space="preserve">Every direction in this procedure runs on the same underlying rule, already stated in the playbook: the next person accepts the message before the sender lets go of it. Concretely, that means:</w:t>
      </w:r>
    </w:p>
    <w:p>
      <w:pPr>
        <w:pStyle w:val="ListParagraph"/>
        <w:numPr>
          <w:ilvl w:val="0"/>
          <w:numId w:val="2"/>
        </w:numPr>
        <w:spacing w:after="70"/>
      </w:pPr>
      <w:r>
        <w:t xml:space="preserve">Every message names who sent it and who must confirm receiving it.</w:t>
      </w:r>
    </w:p>
    <w:p>
      <w:pPr>
        <w:pStyle w:val="ListParagraph"/>
        <w:numPr>
          <w:ilvl w:val="0"/>
          <w:numId w:val="2"/>
        </w:numPr>
        <w:spacing w:after="70"/>
      </w:pPr>
      <w:r>
        <w:t xml:space="preserve">Confirmation is never assumed from silence — it is a reply, a signature, a logged entry, or a verbal acknowledgment someone recorded.</w:t>
      </w:r>
    </w:p>
    <w:p>
      <w:pPr>
        <w:pStyle w:val="ListParagraph"/>
        <w:numPr>
          <w:ilvl w:val="0"/>
          <w:numId w:val="2"/>
        </w:numPr>
        <w:spacing w:after="70"/>
      </w:pPr>
      <w:r>
        <w:t xml:space="preserve">If confirmation doesn't come within the stated timeframe, the sender follows up rather than assuming the message landed.</w:t>
      </w:r>
    </w:p>
    <w:p>
      <w:pPr>
        <w:pStyle w:val="Heading1"/>
        <w:spacing w:after="160" w:before="320"/>
      </w:pPr>
      <w:r>
        <w:t xml:space="preserve">8. Record Keeping</w:t>
      </w:r>
    </w:p>
    <w:p>
      <w:pPr>
        <w:spacing w:after="140"/>
      </w:pPr>
      <w:r>
        <w:rPr>
          <w:b w:val="false"/>
          <w:bCs w:val="false"/>
          <w:i w:val="false"/>
          <w:iCs w:val="false"/>
        </w:rPr>
        <w:t xml:space="preserve">Meeting minutes, cascade confirmations, and escalation logs are kept by the Operations Manager, who owns this procedure. Leads keep their own team-level confirmations (sign-offs, verbal-confirmation logs) per Section 4.1.</w:t>
      </w:r>
    </w:p>
    <w:p>
      <w:pPr>
        <w:spacing w:after="140"/>
      </w:pPr>
      <w:r>
        <w:rPr>
          <w:b w:val="false"/>
          <w:bCs w:val="false"/>
          <w:i w:val="false"/>
          <w:iCs w:val="false"/>
        </w:rPr>
        <w:t xml:space="preserve">Confirmed: all communication records are stored on the shared drive.</w:t>
      </w:r>
    </w:p>
    <w:p>
      <w:pPr>
        <w:pageBreakBefore/>
      </w:pPr>
      <w:r>
        <w:br/>
        <w:t xml:space="preserve"/>
      </w:r>
    </w:p>
    <w:p>
      <w:pPr>
        <w:spacing w:after="160" w:before="120"/>
      </w:pPr>
      <w:r>
        <w:rPr>
          <w:b/>
          <w:bCs/>
          <w:color w:val="1F3A5F"/>
          <w:sz w:val="32"/>
          <w:szCs w:val="32"/>
        </w:rPr>
        <w:t xml:space="preserve">Appendix A — Organization Chart</w:t>
      </w:r>
    </w:p>
    <w:p>
      <w:pPr>
        <w:spacing w:after="160"/>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76625"/>
                    </a:xfrm>
                    <a:prstGeom prst="rect">
                      <a:avLst/>
                    </a:prstGeom>
                  </pic:spPr>
                </pic:pic>
              </a:graphicData>
            </a:graphic>
          </wp:inline>
        </w:drawing>
      </w:r>
    </w:p>
    <w:p>
      <w:pPr>
        <w:spacing w:after="140"/>
      </w:pPr>
      <w:r>
        <w:rPr>
          <w:b w:val="false"/>
          <w:bCs w:val="false"/>
          <w:i/>
          <w:iCs/>
        </w:rPr>
        <w:t xml:space="preserve">Carlos leads grappling and Ahmed leads striking under Abdullah, with all instructors reporting to him. Roaa reports to Nasser in Operations, sitting above Verna (Promenade, Hawalli) and Tareq (Bedaya), and also coaches under Abdullah in Training — shown by the dotted line. Ayaa implements marketing strategy under Maryam. Saud (highlighted) is the newly added Systems &amp; IT function; his team, if any, is not yet defined.</w:t>
      </w:r>
    </w:p>
    <w:sectPr>
      <w:headerReference w:type="default" r:id="rId7"/>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00"/>
      <w:gridCol w:w="7360"/>
    </w:tblGrid>
    <w:tr>
      <w:tc>
        <w:tcPr>
          <w:tcW w:type="dxa" w:w="2000"/>
        </w:tcPr>
        <w:p>
          <w:r>
            <w:drawing>
              <wp:inline distT="0" distB="0" distL="0" distR="0">
                <wp:extent cx="1047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90525"/>
                        </a:xfrm>
                        <a:prstGeom prst="rect">
                          <a:avLst/>
                        </a:prstGeom>
                      </pic:spPr>
                    </pic:pic>
                  </a:graphicData>
                </a:graphic>
              </wp:inline>
            </w:drawing>
          </w:r>
        </w:p>
      </w:tc>
      <w:tc>
        <w:tcPr>
          <w:tcW w:type="dxa" w:w="7360"/>
        </w:tcPr>
        <w:p>
          <w:pPr>
            <w:jc w:val="right"/>
          </w:pPr>
          <w:r>
            <w:rPr>
              <w:color w:val="666666"/>
              <w:sz w:val="16"/>
              <w:szCs w:val="16"/>
            </w:rPr>
            <w:t xml:space="preserve">Document Ref: EA-COMM-PROC-01</w:t>
          </w:r>
        </w:p>
        <w:p>
          <w:pPr>
            <w:jc w:val="right"/>
          </w:pPr>
          <w:r>
            <w:rPr>
              <w:color w:val="666666"/>
              <w:sz w:val="16"/>
              <w:szCs w:val="16"/>
            </w:rPr>
            <w:t xml:space="preserve">Version: 2.3</w:t>
          </w:r>
        </w:p>
        <w:p>
          <w:pPr>
            <w:jc w:val="right"/>
          </w:pPr>
          <w:r>
            <w:rPr>
              <w:color w:val="666666"/>
              <w:sz w:val="16"/>
              <w:szCs w:val="16"/>
            </w:rPr>
            <w:t xml:space="preserve">Effective Date: 13-Sep-2026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9b02ec1c224b8d2a33638eb0271a7777364f122.png"/><Relationship Id="rId9" Type="http://schemas.openxmlformats.org/officeDocument/2006/relationships/image" Target="media/ccc1085875c644a4ec5261d632b1bdd63a2f8fc0.png"/><Relationship Id="rId10" Type="http://schemas.openxmlformats.org/officeDocument/2006/relationships/image" Target="media/10e4ce23a09bee01d36a5f23fd3cd504854824f1.png"/><Relationship Id="rId11" Type="http://schemas.openxmlformats.org/officeDocument/2006/relationships/image" Target="media/d11eba290c5b11b49a73b49cfe0b69415434ad54.png"/><Relationship Id="rId12" Type="http://schemas.openxmlformats.org/officeDocument/2006/relationships/image" Target="media/13d66d8d3f69093056910d721d8342b1e2926eeb.png"/><Relationship Id="rId13" Type="http://schemas.openxmlformats.org/officeDocument/2006/relationships/image" Target="media/90e58ef08582826994be244ce0fa3a1a8c09e5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9b02ec1c224b8d2a33638eb0271a7777364f1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2026-09-14T06:47:37.143Z</dcterms:created>
  <dcterms:modified xsi:type="dcterms:W3CDTF">2026-09-14T06:47:37.144Z</dcterms:modified>
</cp:coreProperties>
</file>

<file path=docProps/custom.xml><?xml version="1.0" encoding="utf-8"?>
<Properties xmlns="http://schemas.openxmlformats.org/officeDocument/2006/custom-properties" xmlns:vt="http://schemas.openxmlformats.org/officeDocument/2006/docPropsVTypes"/>
</file>