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A5F"/>
          <w:sz w:val="24"/>
          <w:szCs w:val="24"/>
        </w:rPr>
        <w:t xml:space="preserve">ELITE ACADEMY</w:t>
      </w:r>
    </w:p>
    <w:p>
      <w:pPr>
        <w:spacing w:after="300"/>
      </w:pPr>
      <w:r>
        <w:rPr>
          <w:i/>
          <w:iCs/>
          <w:color w:val="555555"/>
          <w:sz w:val="18"/>
          <w:szCs w:val="18"/>
        </w:rPr>
        <w:t xml:space="preserve">People · Progress · A Stronger You</w:t>
      </w:r>
    </w:p>
    <w:p>
      <w:pPr>
        <w:spacing w:after="80"/>
      </w:pPr>
      <w:r>
        <w:rPr>
          <w:b/>
          <w:bCs/>
          <w:color w:val="1F3A5F"/>
          <w:sz w:val="36"/>
          <w:szCs w:val="36"/>
        </w:rPr>
        <w:t xml:space="preserve">ORGANIZATION CHART &amp; COMMUNICATION CHANNELS</w:t>
      </w:r>
    </w:p>
    <w:p>
      <w:pPr>
        <w:spacing w:after="300"/>
      </w:pPr>
      <w:r>
        <w:rPr>
          <w:color w:val="444444"/>
          <w:sz w:val="22"/>
          <w:szCs w:val="22"/>
        </w:rPr>
        <w:t xml:space="preserve">A level-by-level reference: who reports to whom, and how each level talks to the next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color="auto" w:val="clear"/>
            <w:vAlign w:val="center"/>
          </w:tcPr>
          <w:p>
            <w:r>
              <w:rPr>
                <w:b/>
                <w:bCs/>
                <w:color w:val="FFFFFF"/>
                <w:sz w:val="20"/>
                <w:szCs w:val="20"/>
              </w:rPr>
              <w:t xml:space="preserve">Field</w:t>
            </w:r>
          </w:p>
        </w:tc>
        <w:tc>
          <w:tcPr>
            <w:tcW w:type="dxa" w:w="6300"/>
            <w:shd w:fill="1F3A5F" w:color="auto" w:val="clear"/>
            <w:vAlign w:val="center"/>
          </w:tcPr>
          <w:p>
            <w:r>
              <w:rPr>
                <w:b/>
                <w:bCs/>
                <w:color w:val="FFFFFF"/>
                <w:sz w:val="20"/>
                <w:szCs w:val="20"/>
              </w:rPr>
              <w:t xml:space="preserve">Detail</w:t>
            </w:r>
          </w:p>
        </w:tc>
      </w:tr>
      <w:tr>
        <w:tc>
          <w:tcPr>
            <w:tcW w:type="dxa" w:w="3200"/>
            <w:vAlign w:val="center"/>
          </w:tcPr>
          <w:p>
            <w:r>
              <w:rPr>
                <w:b w:val="false"/>
                <w:bCs w:val="false"/>
                <w:color w:val="000000"/>
                <w:sz w:val="20"/>
                <w:szCs w:val="20"/>
              </w:rPr>
              <w:t xml:space="preserve">Document Number</w:t>
            </w:r>
          </w:p>
        </w:tc>
        <w:tc>
          <w:tcPr>
            <w:tcW w:type="dxa" w:w="6300"/>
            <w:vAlign w:val="center"/>
          </w:tcPr>
          <w:p>
            <w:r>
              <w:rPr>
                <w:b w:val="false"/>
                <w:bCs w:val="false"/>
                <w:color w:val="000000"/>
                <w:sz w:val="20"/>
                <w:szCs w:val="20"/>
              </w:rPr>
              <w:t xml:space="preserve">EA-COMM-REF-01</w:t>
            </w:r>
          </w:p>
        </w:tc>
      </w:tr>
      <w:tr>
        <w:tc>
          <w:tcPr>
            <w:tcW w:type="dxa" w:w="3200"/>
            <w:shd w:fill="EAF0F6" w:color="auto" w:val="clear"/>
            <w:vAlign w:val="center"/>
          </w:tcPr>
          <w:p>
            <w:r>
              <w:rPr>
                <w:b w:val="false"/>
                <w:bCs w:val="false"/>
                <w:color w:val="000000"/>
                <w:sz w:val="20"/>
                <w:szCs w:val="20"/>
              </w:rPr>
              <w:t xml:space="preserve">Version</w:t>
            </w:r>
          </w:p>
        </w:tc>
        <w:tc>
          <w:tcPr>
            <w:tcW w:type="dxa" w:w="6300"/>
            <w:shd w:fill="EAF0F6" w:color="auto" w:val="clear"/>
            <w:vAlign w:val="center"/>
          </w:tcPr>
          <w:p>
            <w:r>
              <w:rPr>
                <w:b w:val="false"/>
                <w:bCs w:val="false"/>
                <w:color w:val="000000"/>
                <w:sz w:val="20"/>
                <w:szCs w:val="20"/>
              </w:rPr>
              <w:t xml:space="preserve">1.2</w:t>
            </w:r>
          </w:p>
        </w:tc>
      </w:tr>
      <w:tr>
        <w:tc>
          <w:tcPr>
            <w:tcW w:type="dxa" w:w="3200"/>
            <w:vAlign w:val="center"/>
          </w:tcPr>
          <w:p>
            <w:r>
              <w:rPr>
                <w:b w:val="false"/>
                <w:bCs w:val="false"/>
                <w:color w:val="000000"/>
                <w:sz w:val="20"/>
                <w:szCs w:val="20"/>
              </w:rPr>
              <w:t xml:space="preserve">Effective Date</w:t>
            </w:r>
          </w:p>
        </w:tc>
        <w:tc>
          <w:tcPr>
            <w:tcW w:type="dxa" w:w="6300"/>
            <w:vAlign w:val="center"/>
          </w:tcPr>
          <w:p>
            <w:r>
              <w:rPr>
                <w:b w:val="false"/>
                <w:bCs w:val="false"/>
                <w:color w:val="000000"/>
                <w:sz w:val="20"/>
                <w:szCs w:val="20"/>
              </w:rPr>
              <w:t xml:space="preserve">13-Sep-2026</w:t>
            </w:r>
          </w:p>
        </w:tc>
      </w:tr>
      <w:tr>
        <w:tc>
          <w:tcPr>
            <w:tcW w:type="dxa" w:w="3200"/>
            <w:shd w:fill="EAF0F6" w:color="auto" w:val="clear"/>
            <w:vAlign w:val="center"/>
          </w:tcPr>
          <w:p>
            <w:r>
              <w:rPr>
                <w:b w:val="false"/>
                <w:bCs w:val="false"/>
                <w:color w:val="000000"/>
                <w:sz w:val="20"/>
                <w:szCs w:val="20"/>
              </w:rPr>
              <w:t xml:space="preserve">Related Documents</w:t>
            </w:r>
          </w:p>
        </w:tc>
        <w:tc>
          <w:tcPr>
            <w:tcW w:type="dxa" w:w="6300"/>
            <w:shd w:fill="EAF0F6" w:color="auto" w:val="clear"/>
            <w:vAlign w:val="center"/>
          </w:tcPr>
          <w:p>
            <w:r>
              <w:rPr>
                <w:b w:val="false"/>
                <w:bCs w:val="false"/>
                <w:color w:val="000000"/>
                <w:sz w:val="20"/>
                <w:szCs w:val="20"/>
              </w:rPr>
              <w:t xml:space="preserve">How We Work Together (EA-COMM-PLAY-01); Communication Procedure (EA-COMM-PROC-01)</w:t>
            </w:r>
          </w:p>
        </w:tc>
      </w:tr>
    </w:tbl>
    <w:p>
      <w:pPr>
        <w:spacing w:after="260"/>
      </w:pPr>
    </w:p>
    <w:p>
      <w:pPr>
        <w:pBdr>
          <w:left w:val="single" w:color="B7791F" w:sz="12" w:space="8"/>
        </w:pBdr>
        <w:spacing w:after="160"/>
        <w:ind w:left="200"/>
      </w:pPr>
      <w:r>
        <w:rPr>
          <w:i/>
          <w:iCs/>
          <w:color w:val="555555"/>
        </w:rPr>
        <w:t xml:space="preserve">This is a quick-reference companion to the Communication Procedure (EA-COMM-PROC-01), which contains the full detail, cascade rules, and open items. This document exists to be looked at, not just read — the org chart plus one channel table per level.</w:t>
      </w:r>
    </w:p>
    <w:p>
      <w:pPr>
        <w:pStyle w:val="Heading1"/>
        <w:spacing w:after="140" w:before="320"/>
      </w:pPr>
      <w:r>
        <w:t xml:space="preserve">1. Organization Chart</w:t>
      </w:r>
    </w:p>
    <w:p>
      <w:pPr>
        <w:spacing w:after="140"/>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76625"/>
                    </a:xfrm>
                    <a:prstGeom prst="rect">
                      <a:avLst/>
                    </a:prstGeom>
                  </pic:spPr>
                </pic:pic>
              </a:graphicData>
            </a:graphic>
          </wp:inline>
        </w:drawing>
      </w:r>
    </w:p>
    <w:p>
      <w:pPr>
        <w:spacing w:after="130"/>
      </w:pPr>
      <w:r>
        <w:rPr>
          <w:b w:val="false"/>
          <w:bCs w:val="false"/>
          <w:i/>
          <w:iCs/>
        </w:rPr>
        <w:t xml:space="preserve">Carlos leads grappling and Ahmed leads striking under Abdullah, with all instructors reporting to him. Roaa reports to Nasser in Operations, sitting above Verna (Promenade, Hawalli) and Tareq (Bedaya), and also coaches under Abdullah in Training — shown by the dotted line. Ayaa implements marketing strategy under Maryam. Saud (highlighted) is the newly added Systems &amp; IT function; his team, if any, is not yet defined.</w:t>
      </w:r>
    </w:p>
    <w:p>
      <w:pPr>
        <w:pStyle w:val="Heading1"/>
        <w:spacing w:after="140" w:before="320"/>
      </w:pPr>
      <w:r>
        <w:t xml:space="preserve">2. Level 1 → Level 2 — Dakhil to Each Lead</w:t>
      </w:r>
    </w:p>
    <w:p>
      <w:pPr>
        <w:spacing w:after="140"/>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52575"/>
                    </a:xfrm>
                    <a:prstGeom prst="rect">
                      <a:avLst/>
                    </a:prstGeom>
                  </pic:spPr>
                </pic:pic>
              </a:graphicData>
            </a:graphic>
          </wp:inline>
        </w:drawing>
      </w:r>
    </w:p>
    <w:p>
      <w:pPr>
        <w:pStyle w:val="Heading2"/>
        <w:spacing w:after="90" w:before="200"/>
      </w:pPr>
      <w:r>
        <w:t xml:space="preserve">Monthly Standing Sync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F3A5F" w:color="auto" w:val="clear"/>
            <w:vAlign w:val="center"/>
          </w:tcPr>
          <w:p>
            <w:r>
              <w:rPr>
                <w:b/>
                <w:bCs/>
                <w:color w:val="FFFFFF"/>
                <w:sz w:val="20"/>
                <w:szCs w:val="20"/>
              </w:rPr>
              <w:t xml:space="preserve">From → To</w:t>
            </w:r>
          </w:p>
        </w:tc>
        <w:tc>
          <w:tcPr>
            <w:tcW w:type="dxa" w:w="4200"/>
            <w:shd w:fill="1F3A5F" w:color="auto" w:val="clear"/>
            <w:vAlign w:val="center"/>
          </w:tcPr>
          <w:p>
            <w:r>
              <w:rPr>
                <w:b/>
                <w:bCs/>
                <w:color w:val="FFFFFF"/>
                <w:sz w:val="20"/>
                <w:szCs w:val="20"/>
              </w:rPr>
              <w:t xml:space="preserve">What Moves</w:t>
            </w:r>
          </w:p>
        </w:tc>
        <w:tc>
          <w:tcPr>
            <w:tcW w:type="dxa" w:w="2300"/>
            <w:shd w:fill="1F3A5F" w:color="auto" w:val="clear"/>
            <w:vAlign w:val="center"/>
          </w:tcPr>
          <w:p>
            <w:r>
              <w:rPr>
                <w:b/>
                <w:bCs/>
                <w:color w:val="FFFFFF"/>
                <w:sz w:val="20"/>
                <w:szCs w:val="20"/>
              </w:rPr>
              <w:t xml:space="preserve">Channel / Frequency</w:t>
            </w:r>
          </w:p>
        </w:tc>
      </w:tr>
      <w:tr>
        <w:tc>
          <w:tcPr>
            <w:tcW w:type="dxa" w:w="3000"/>
            <w:vAlign w:val="center"/>
          </w:tcPr>
          <w:p>
            <w:r>
              <w:rPr>
                <w:b w:val="false"/>
                <w:bCs w:val="false"/>
                <w:color w:val="000000"/>
                <w:sz w:val="20"/>
                <w:szCs w:val="20"/>
              </w:rPr>
              <w:t xml:space="preserve">Dakhil → Abdullah (Training)</w:t>
            </w:r>
          </w:p>
        </w:tc>
        <w:tc>
          <w:tcPr>
            <w:tcW w:type="dxa" w:w="4200"/>
            <w:vAlign w:val="center"/>
          </w:tcPr>
          <w:p>
            <w:r>
              <w:rPr>
                <w:b w:val="false"/>
                <w:bCs w:val="false"/>
                <w:color w:val="000000"/>
                <w:sz w:val="20"/>
                <w:szCs w:val="20"/>
              </w:rPr>
              <w:t xml:space="preserve">Vision, strategic direction, training decisions.</w:t>
            </w:r>
          </w:p>
        </w:tc>
        <w:tc>
          <w:tcPr>
            <w:tcW w:type="dxa" w:w="2300"/>
            <w:vAlign w:val="center"/>
          </w:tcPr>
          <w:p>
            <w:r>
              <w:rPr>
                <w:b w:val="false"/>
                <w:bCs w:val="false"/>
                <w:color w:val="000000"/>
                <w:sz w:val="20"/>
                <w:szCs w:val="20"/>
              </w:rPr>
              <w:t xml:space="preserve">Standing leads meeting, monthly.</w:t>
            </w:r>
          </w:p>
        </w:tc>
      </w:tr>
      <w:tr>
        <w:tc>
          <w:tcPr>
            <w:tcW w:type="dxa" w:w="3000"/>
            <w:shd w:fill="EAF0F6" w:color="auto" w:val="clear"/>
            <w:vAlign w:val="center"/>
          </w:tcPr>
          <w:p>
            <w:r>
              <w:rPr>
                <w:b w:val="false"/>
                <w:bCs w:val="false"/>
                <w:color w:val="000000"/>
                <w:sz w:val="20"/>
                <w:szCs w:val="20"/>
              </w:rPr>
              <w:t xml:space="preserve">Dakhil → Nasser (Operations)</w:t>
            </w:r>
          </w:p>
        </w:tc>
        <w:tc>
          <w:tcPr>
            <w:tcW w:type="dxa" w:w="4200"/>
            <w:shd w:fill="EAF0F6" w:color="auto" w:val="clear"/>
            <w:vAlign w:val="center"/>
          </w:tcPr>
          <w:p>
            <w:r>
              <w:rPr>
                <w:b w:val="false"/>
                <w:bCs w:val="false"/>
                <w:color w:val="000000"/>
                <w:sz w:val="20"/>
                <w:szCs w:val="20"/>
              </w:rPr>
              <w:t xml:space="preserve">Vision, strategic direction, operations/sales/branch decisions.</w:t>
            </w:r>
          </w:p>
        </w:tc>
        <w:tc>
          <w:tcPr>
            <w:tcW w:type="dxa" w:w="2300"/>
            <w:shd w:fill="EAF0F6" w:color="auto" w:val="clear"/>
            <w:vAlign w:val="center"/>
          </w:tcPr>
          <w:p>
            <w:r>
              <w:rPr>
                <w:b w:val="false"/>
                <w:bCs w:val="false"/>
                <w:color w:val="000000"/>
                <w:sz w:val="20"/>
                <w:szCs w:val="20"/>
              </w:rPr>
              <w:t xml:space="preserve">Standing leads meeting, monthly.</w:t>
            </w:r>
          </w:p>
        </w:tc>
      </w:tr>
      <w:tr>
        <w:tc>
          <w:tcPr>
            <w:tcW w:type="dxa" w:w="3000"/>
            <w:vAlign w:val="center"/>
          </w:tcPr>
          <w:p>
            <w:r>
              <w:rPr>
                <w:b w:val="false"/>
                <w:bCs w:val="false"/>
                <w:color w:val="000000"/>
                <w:sz w:val="20"/>
                <w:szCs w:val="20"/>
              </w:rPr>
              <w:t xml:space="preserve">Dakhil → Maryam (Marketing)</w:t>
            </w:r>
          </w:p>
        </w:tc>
        <w:tc>
          <w:tcPr>
            <w:tcW w:type="dxa" w:w="4200"/>
            <w:vAlign w:val="center"/>
          </w:tcPr>
          <w:p>
            <w:r>
              <w:rPr>
                <w:b w:val="false"/>
                <w:bCs w:val="false"/>
                <w:color w:val="000000"/>
                <w:sz w:val="20"/>
                <w:szCs w:val="20"/>
              </w:rPr>
              <w:t xml:space="preserve">Vision, strategic direction, marketing/messaging decisions.</w:t>
            </w:r>
          </w:p>
        </w:tc>
        <w:tc>
          <w:tcPr>
            <w:tcW w:type="dxa" w:w="2300"/>
            <w:vAlign w:val="center"/>
          </w:tcPr>
          <w:p>
            <w:r>
              <w:rPr>
                <w:b w:val="false"/>
                <w:bCs w:val="false"/>
                <w:color w:val="000000"/>
                <w:sz w:val="20"/>
                <w:szCs w:val="20"/>
              </w:rPr>
              <w:t xml:space="preserve">Standing leads meeting, monthly.</w:t>
            </w:r>
          </w:p>
        </w:tc>
      </w:tr>
      <w:tr>
        <w:tc>
          <w:tcPr>
            <w:tcW w:type="dxa" w:w="3000"/>
            <w:shd w:fill="EAF0F6" w:color="auto" w:val="clear"/>
            <w:vAlign w:val="center"/>
          </w:tcPr>
          <w:p>
            <w:r>
              <w:rPr>
                <w:b w:val="false"/>
                <w:bCs w:val="false"/>
                <w:color w:val="000000"/>
                <w:sz w:val="20"/>
                <w:szCs w:val="20"/>
              </w:rPr>
              <w:t xml:space="preserve">Dakhil → Saud (Systems &amp; IT)</w:t>
            </w:r>
          </w:p>
        </w:tc>
        <w:tc>
          <w:tcPr>
            <w:tcW w:type="dxa" w:w="4200"/>
            <w:shd w:fill="EAF0F6" w:color="auto" w:val="clear"/>
            <w:vAlign w:val="center"/>
          </w:tcPr>
          <w:p>
            <w:r>
              <w:rPr>
                <w:b w:val="false"/>
                <w:bCs w:val="false"/>
                <w:color w:val="000000"/>
                <w:sz w:val="20"/>
                <w:szCs w:val="20"/>
              </w:rPr>
              <w:t xml:space="preserve">Vision, strategic direction, systems/tools decisions.</w:t>
            </w:r>
          </w:p>
        </w:tc>
        <w:tc>
          <w:tcPr>
            <w:tcW w:type="dxa" w:w="2300"/>
            <w:shd w:fill="EAF0F6" w:color="auto" w:val="clear"/>
            <w:vAlign w:val="center"/>
          </w:tcPr>
          <w:p>
            <w:r>
              <w:rPr>
                <w:b w:val="false"/>
                <w:bCs w:val="false"/>
                <w:color w:val="000000"/>
                <w:sz w:val="20"/>
                <w:szCs w:val="20"/>
              </w:rPr>
              <w:t xml:space="preserve">Standing leads meeting, monthly.</w:t>
            </w:r>
          </w:p>
        </w:tc>
      </w:tr>
    </w:tbl>
    <w:p>
      <w:pPr>
        <w:pStyle w:val="Heading2"/>
        <w:spacing w:after="90" w:before="200"/>
      </w:pPr>
      <w:r>
        <w:t xml:space="preserve">Between Meetings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F3A5F" w:color="auto" w:val="clear"/>
            <w:vAlign w:val="center"/>
          </w:tcPr>
          <w:p>
            <w:r>
              <w:rPr>
                <w:b/>
                <w:bCs/>
                <w:color w:val="FFFFFF"/>
                <w:sz w:val="20"/>
                <w:szCs w:val="20"/>
              </w:rPr>
              <w:t xml:space="preserve">From → To</w:t>
            </w:r>
          </w:p>
        </w:tc>
        <w:tc>
          <w:tcPr>
            <w:tcW w:type="dxa" w:w="4200"/>
            <w:shd w:fill="1F3A5F" w:color="auto" w:val="clear"/>
            <w:vAlign w:val="center"/>
          </w:tcPr>
          <w:p>
            <w:r>
              <w:rPr>
                <w:b/>
                <w:bCs/>
                <w:color w:val="FFFFFF"/>
                <w:sz w:val="20"/>
                <w:szCs w:val="20"/>
              </w:rPr>
              <w:t xml:space="preserve">What Moves</w:t>
            </w:r>
          </w:p>
        </w:tc>
        <w:tc>
          <w:tcPr>
            <w:tcW w:type="dxa" w:w="2300"/>
            <w:shd w:fill="1F3A5F" w:color="auto" w:val="clear"/>
            <w:vAlign w:val="center"/>
          </w:tcPr>
          <w:p>
            <w:r>
              <w:rPr>
                <w:b/>
                <w:bCs/>
                <w:color w:val="FFFFFF"/>
                <w:sz w:val="20"/>
                <w:szCs w:val="20"/>
              </w:rPr>
              <w:t xml:space="preserve">Channel</w:t>
            </w:r>
          </w:p>
        </w:tc>
      </w:tr>
      <w:tr>
        <w:tc>
          <w:tcPr>
            <w:tcW w:type="dxa" w:w="3000"/>
            <w:vAlign w:val="center"/>
          </w:tcPr>
          <w:p>
            <w:r>
              <w:rPr>
                <w:b w:val="false"/>
                <w:bCs w:val="false"/>
                <w:color w:val="000000"/>
                <w:sz w:val="20"/>
                <w:szCs w:val="20"/>
              </w:rPr>
              <w:t xml:space="preserve">Dakhil / Management → all 4 leads</w:t>
            </w:r>
          </w:p>
        </w:tc>
        <w:tc>
          <w:tcPr>
            <w:tcW w:type="dxa" w:w="4200"/>
            <w:vAlign w:val="center"/>
          </w:tcPr>
          <w:p>
            <w:r>
              <w:rPr>
                <w:b w:val="false"/>
                <w:bCs w:val="false"/>
                <w:color w:val="000000"/>
                <w:sz w:val="20"/>
                <w:szCs w:val="20"/>
              </w:rPr>
              <w:t xml:space="preserve">Any decision or update that can't wait for the monthly meeting.</w:t>
            </w:r>
          </w:p>
        </w:tc>
        <w:tc>
          <w:tcPr>
            <w:tcW w:type="dxa" w:w="2300"/>
            <w:vAlign w:val="center"/>
          </w:tcPr>
          <w:p>
            <w:r>
              <w:rPr>
                <w:b w:val="false"/>
                <w:bCs w:val="false"/>
                <w:color w:val="000000"/>
                <w:sz w:val="20"/>
                <w:szCs w:val="20"/>
              </w:rPr>
              <w:t xml:space="preserve">Email — forwarded by each lead to their own team (Section 4).</w:t>
            </w:r>
          </w:p>
        </w:tc>
      </w:tr>
    </w:tbl>
    <w:p>
      <w:pPr>
        <w:pStyle w:val="Heading1"/>
        <w:spacing w:after="140" w:before="320"/>
      </w:pPr>
      <w:r>
        <w:t xml:space="preserve">3. Level 2 ↔ Level 2 — Across the Leads</w:t>
      </w:r>
    </w:p>
    <w:p>
      <w:pPr>
        <w:spacing w:after="140"/>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130"/>
      </w:pPr>
      <w:r>
        <w:rPr>
          <w:b w:val="false"/>
          <w:bCs w:val="false"/>
          <w:i w:val="false"/>
          <w:iCs w:val="false"/>
        </w:rPr>
        <w:t xml:space="preserve">All four leads meet monthly alongside Dakhil (Section 2). Between meetings, and for the recurring handoffs below, leads reach each other by email, phone call, or phone message (SMS/WhatsApp) — whichever is fastest. The channel doesn't matter as much as the confirmation that closes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500"/>
      </w:tblGrid>
      <w:tr>
        <w:trPr>
          <w:tblHeader/>
        </w:trPr>
        <w:tc>
          <w:tcPr>
            <w:tcW w:type="dxa" w:w="2400"/>
            <w:shd w:fill="1F3A5F" w:color="auto" w:val="clear"/>
            <w:vAlign w:val="center"/>
          </w:tcPr>
          <w:p>
            <w:r>
              <w:rPr>
                <w:b/>
                <w:bCs/>
                <w:color w:val="FFFFFF"/>
                <w:sz w:val="20"/>
                <w:szCs w:val="20"/>
              </w:rPr>
              <w:t xml:space="preserve">From → To</w:t>
            </w:r>
          </w:p>
        </w:tc>
        <w:tc>
          <w:tcPr>
            <w:tcW w:type="dxa" w:w="4600"/>
            <w:shd w:fill="1F3A5F" w:color="auto" w:val="clear"/>
            <w:vAlign w:val="center"/>
          </w:tcPr>
          <w:p>
            <w:r>
              <w:rPr>
                <w:b/>
                <w:bCs/>
                <w:color w:val="FFFFFF"/>
                <w:sz w:val="20"/>
                <w:szCs w:val="20"/>
              </w:rPr>
              <w:t xml:space="preserve">What Moves</w:t>
            </w:r>
          </w:p>
        </w:tc>
        <w:tc>
          <w:tcPr>
            <w:tcW w:type="dxa" w:w="2500"/>
            <w:shd w:fill="1F3A5F" w:color="auto" w:val="clear"/>
            <w:vAlign w:val="center"/>
          </w:tcPr>
          <w:p>
            <w:r>
              <w:rPr>
                <w:b/>
                <w:bCs/>
                <w:color w:val="FFFFFF"/>
                <w:sz w:val="20"/>
                <w:szCs w:val="20"/>
              </w:rPr>
              <w:t xml:space="preserve">Confirmation</w:t>
            </w:r>
          </w:p>
        </w:tc>
      </w:tr>
      <w:tr>
        <w:tc>
          <w:tcPr>
            <w:tcW w:type="dxa" w:w="2400"/>
            <w:vAlign w:val="center"/>
          </w:tcPr>
          <w:p>
            <w:r>
              <w:rPr>
                <w:b w:val="false"/>
                <w:bCs w:val="false"/>
                <w:color w:val="000000"/>
                <w:sz w:val="20"/>
                <w:szCs w:val="20"/>
              </w:rPr>
              <w:t xml:space="preserve">Abdullah ↔ Maryam</w:t>
            </w:r>
          </w:p>
        </w:tc>
        <w:tc>
          <w:tcPr>
            <w:tcW w:type="dxa" w:w="4600"/>
            <w:vAlign w:val="center"/>
          </w:tcPr>
          <w:p>
            <w:r>
              <w:rPr>
                <w:b w:val="false"/>
                <w:bCs w:val="false"/>
                <w:color w:val="000000"/>
                <w:sz w:val="20"/>
                <w:szCs w:val="20"/>
              </w:rPr>
              <w:t xml:space="preserve">Program knowledge and progress stories ↔ message alignment with what's taught.</w:t>
            </w:r>
          </w:p>
        </w:tc>
        <w:tc>
          <w:tcPr>
            <w:tcW w:type="dxa" w:w="2500"/>
            <w:vAlign w:val="center"/>
          </w:tcPr>
          <w:p>
            <w:r>
              <w:rPr>
                <w:b w:val="false"/>
                <w:bCs w:val="false"/>
                <w:color w:val="000000"/>
                <w:sz w:val="20"/>
                <w:szCs w:val="20"/>
              </w:rPr>
              <w:t xml:space="preserve">Each side confirms receipt / accuracy.</w:t>
            </w:r>
          </w:p>
        </w:tc>
      </w:tr>
      <w:tr>
        <w:tc>
          <w:tcPr>
            <w:tcW w:type="dxa" w:w="2400"/>
            <w:shd w:fill="EAF0F6" w:color="auto" w:val="clear"/>
            <w:vAlign w:val="center"/>
          </w:tcPr>
          <w:p>
            <w:r>
              <w:rPr>
                <w:b w:val="false"/>
                <w:bCs w:val="false"/>
                <w:color w:val="000000"/>
                <w:sz w:val="20"/>
                <w:szCs w:val="20"/>
              </w:rPr>
              <w:t xml:space="preserve">Maryam ↔ Nasser</w:t>
            </w:r>
          </w:p>
        </w:tc>
        <w:tc>
          <w:tcPr>
            <w:tcW w:type="dxa" w:w="4600"/>
            <w:shd w:fill="EAF0F6" w:color="auto" w:val="clear"/>
            <w:vAlign w:val="center"/>
          </w:tcPr>
          <w:p>
            <w:r>
              <w:rPr>
                <w:b w:val="false"/>
                <w:bCs w:val="false"/>
                <w:color w:val="000000"/>
                <w:sz w:val="20"/>
                <w:szCs w:val="20"/>
              </w:rPr>
              <w:t xml:space="preserve">Campaigns → leads ↔ conversion results → better campaigns; class photos → Ayaa.</w:t>
            </w:r>
          </w:p>
        </w:tc>
        <w:tc>
          <w:tcPr>
            <w:tcW w:type="dxa" w:w="2500"/>
            <w:shd w:fill="EAF0F6" w:color="auto" w:val="clear"/>
            <w:vAlign w:val="center"/>
          </w:tcPr>
          <w:p>
            <w:r>
              <w:rPr>
                <w:b w:val="false"/>
                <w:bCs w:val="false"/>
                <w:color w:val="000000"/>
                <w:sz w:val="20"/>
                <w:szCs w:val="20"/>
              </w:rPr>
              <w:t xml:space="preserve">Nasser confirms leads logged; Maryam confirms photo/result receipt.</w:t>
            </w:r>
          </w:p>
        </w:tc>
      </w:tr>
      <w:tr>
        <w:tc>
          <w:tcPr>
            <w:tcW w:type="dxa" w:w="2400"/>
            <w:vAlign w:val="center"/>
          </w:tcPr>
          <w:p>
            <w:r>
              <w:rPr>
                <w:b w:val="false"/>
                <w:bCs w:val="false"/>
                <w:color w:val="000000"/>
                <w:sz w:val="20"/>
                <w:szCs w:val="20"/>
              </w:rPr>
              <w:t xml:space="preserve">Abdullah ↔ Nasser</w:t>
            </w:r>
          </w:p>
        </w:tc>
        <w:tc>
          <w:tcPr>
            <w:tcW w:type="dxa" w:w="4600"/>
            <w:vAlign w:val="center"/>
          </w:tcPr>
          <w:p>
            <w:r>
              <w:rPr>
                <w:b w:val="false"/>
                <w:bCs w:val="false"/>
                <w:color w:val="000000"/>
                <w:sz w:val="20"/>
                <w:szCs w:val="20"/>
              </w:rPr>
              <w:t xml:space="preserve">Attendance/progress/concerns ↔ bookings and member processes.</w:t>
            </w:r>
          </w:p>
        </w:tc>
        <w:tc>
          <w:tcPr>
            <w:tcW w:type="dxa" w:w="2500"/>
            <w:vAlign w:val="center"/>
          </w:tcPr>
          <w:p>
            <w:r>
              <w:rPr>
                <w:b w:val="false"/>
                <w:bCs w:val="false"/>
                <w:color w:val="000000"/>
                <w:sz w:val="20"/>
                <w:szCs w:val="20"/>
              </w:rPr>
              <w:t xml:space="preserve">Each side confirms the update is logged.</w:t>
            </w:r>
          </w:p>
        </w:tc>
      </w:tr>
      <w:tr>
        <w:tc>
          <w:tcPr>
            <w:tcW w:type="dxa" w:w="2400"/>
            <w:shd w:fill="EAF0F6" w:color="auto" w:val="clear"/>
            <w:vAlign w:val="center"/>
          </w:tcPr>
          <w:p>
            <w:r>
              <w:rPr>
                <w:b w:val="false"/>
                <w:bCs w:val="false"/>
                <w:color w:val="000000"/>
                <w:sz w:val="20"/>
                <w:szCs w:val="20"/>
              </w:rPr>
              <w:t xml:space="preserve">Any lead → Saud</w:t>
            </w:r>
          </w:p>
        </w:tc>
        <w:tc>
          <w:tcPr>
            <w:tcW w:type="dxa" w:w="4600"/>
            <w:shd w:fill="EAF0F6" w:color="auto" w:val="clear"/>
            <w:vAlign w:val="center"/>
          </w:tcPr>
          <w:p>
            <w:r>
              <w:rPr>
                <w:b w:val="false"/>
                <w:bCs w:val="false"/>
                <w:color w:val="000000"/>
                <w:sz w:val="20"/>
                <w:szCs w:val="20"/>
              </w:rPr>
              <w:t xml:space="preserve">Requests for new tools, system changes, technical support.</w:t>
            </w:r>
          </w:p>
        </w:tc>
        <w:tc>
          <w:tcPr>
            <w:tcW w:type="dxa" w:w="2500"/>
            <w:shd w:fill="EAF0F6" w:color="auto" w:val="clear"/>
            <w:vAlign w:val="center"/>
          </w:tcPr>
          <w:p>
            <w:r>
              <w:rPr>
                <w:b w:val="false"/>
                <w:bCs w:val="false"/>
                <w:color w:val="000000"/>
                <w:sz w:val="20"/>
                <w:szCs w:val="20"/>
              </w:rPr>
              <w:t xml:space="preserve">Saud logs the request and confirms a timeline.</w:t>
            </w:r>
          </w:p>
        </w:tc>
      </w:tr>
      <w:tr>
        <w:tc>
          <w:tcPr>
            <w:tcW w:type="dxa" w:w="2400"/>
            <w:vAlign w:val="center"/>
          </w:tcPr>
          <w:p>
            <w:r>
              <w:rPr>
                <w:b w:val="false"/>
                <w:bCs w:val="false"/>
                <w:color w:val="000000"/>
                <w:sz w:val="20"/>
                <w:szCs w:val="20"/>
              </w:rPr>
              <w:t xml:space="preserve">Saud → affected lead(s)</w:t>
            </w:r>
          </w:p>
        </w:tc>
        <w:tc>
          <w:tcPr>
            <w:tcW w:type="dxa" w:w="4600"/>
            <w:vAlign w:val="center"/>
          </w:tcPr>
          <w:p>
            <w:r>
              <w:rPr>
                <w:b w:val="false"/>
                <w:bCs w:val="false"/>
                <w:color w:val="000000"/>
                <w:sz w:val="20"/>
                <w:szCs w:val="20"/>
              </w:rPr>
              <w:t xml:space="preserve">Notice before any system/tool change affecting their team.</w:t>
            </w:r>
          </w:p>
        </w:tc>
        <w:tc>
          <w:tcPr>
            <w:tcW w:type="dxa" w:w="2500"/>
            <w:vAlign w:val="center"/>
          </w:tcPr>
          <w:p>
            <w:r>
              <w:rPr>
                <w:b w:val="false"/>
                <w:bCs w:val="false"/>
                <w:color w:val="000000"/>
                <w:sz w:val="20"/>
                <w:szCs w:val="20"/>
              </w:rPr>
              <w:t xml:space="preserve">Affected lead confirms awareness before go-live.</w:t>
            </w:r>
          </w:p>
        </w:tc>
      </w:tr>
    </w:tbl>
    <w:p>
      <w:pPr>
        <w:pStyle w:val="Heading1"/>
        <w:spacing w:after="140" w:before="320"/>
      </w:pPr>
      <w:r>
        <w:t xml:space="preserve">4. Level 2 → Level 3 — Leads to Their Subordinates</w:t>
      </w:r>
    </w:p>
    <w:p>
      <w:pPr>
        <w:spacing w:after="140"/>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130"/>
      </w:pPr>
      <w:r>
        <w:rPr>
          <w:b w:val="false"/>
          <w:bCs w:val="false"/>
          <w:i w:val="false"/>
          <w:iCs w:val="false"/>
        </w:rPr>
        <w:t xml:space="preserve">Each lead cascades what they receive within 2 business days. If it arrived by email, the lead forwards the same content rather than a paraphrase. A phone call or phone message works too, as long as confirmation still happens.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700"/>
      </w:tblGrid>
      <w:tr>
        <w:trPr>
          <w:tblHeader/>
        </w:trPr>
        <w:tc>
          <w:tcPr>
            <w:tcW w:type="dxa" w:w="2900"/>
            <w:shd w:fill="1F3A5F" w:color="auto" w:val="clear"/>
            <w:vAlign w:val="center"/>
          </w:tcPr>
          <w:p>
            <w:r>
              <w:rPr>
                <w:b/>
                <w:bCs/>
                <w:color w:val="FFFFFF"/>
                <w:sz w:val="20"/>
                <w:szCs w:val="20"/>
              </w:rPr>
              <w:t xml:space="preserve">From → To</w:t>
            </w:r>
          </w:p>
        </w:tc>
        <w:tc>
          <w:tcPr>
            <w:tcW w:type="dxa" w:w="3900"/>
            <w:shd w:fill="1F3A5F" w:color="auto" w:val="clear"/>
            <w:vAlign w:val="center"/>
          </w:tcPr>
          <w:p>
            <w:r>
              <w:rPr>
                <w:b/>
                <w:bCs/>
                <w:color w:val="FFFFFF"/>
                <w:sz w:val="20"/>
                <w:szCs w:val="20"/>
              </w:rPr>
              <w:t xml:space="preserve">What Moves</w:t>
            </w:r>
          </w:p>
        </w:tc>
        <w:tc>
          <w:tcPr>
            <w:tcW w:type="dxa" w:w="2700"/>
            <w:shd w:fill="1F3A5F" w:color="auto" w:val="clear"/>
            <w:vAlign w:val="center"/>
          </w:tcPr>
          <w:p>
            <w:r>
              <w:rPr>
                <w:b/>
                <w:bCs/>
                <w:color w:val="FFFFFF"/>
                <w:sz w:val="20"/>
                <w:szCs w:val="20"/>
              </w:rPr>
              <w:t xml:space="preserve">Confirmation</w:t>
            </w:r>
          </w:p>
        </w:tc>
      </w:tr>
      <w:tr>
        <w:tc>
          <w:tcPr>
            <w:tcW w:type="dxa" w:w="2900"/>
            <w:vAlign w:val="center"/>
          </w:tcPr>
          <w:p>
            <w:r>
              <w:rPr>
                <w:b w:val="false"/>
                <w:bCs w:val="false"/>
                <w:color w:val="000000"/>
                <w:sz w:val="20"/>
                <w:szCs w:val="20"/>
              </w:rPr>
              <w:t xml:space="preserve">Abdullah → Carlos, Ahmed, instructors</w:t>
            </w:r>
          </w:p>
        </w:tc>
        <w:tc>
          <w:tcPr>
            <w:tcW w:type="dxa" w:w="3900"/>
            <w:vAlign w:val="center"/>
          </w:tcPr>
          <w:p>
            <w:r>
              <w:rPr>
                <w:b w:val="false"/>
                <w:bCs w:val="false"/>
                <w:color w:val="000000"/>
                <w:sz w:val="20"/>
                <w:szCs w:val="20"/>
              </w:rPr>
              <w:t xml:space="preserve">Training direction, program updates.</w:t>
            </w:r>
          </w:p>
        </w:tc>
        <w:tc>
          <w:tcPr>
            <w:tcW w:type="dxa" w:w="2700"/>
            <w:vAlign w:val="center"/>
          </w:tcPr>
          <w:p>
            <w:r>
              <w:rPr>
                <w:b w:val="false"/>
                <w:bCs w:val="false"/>
                <w:color w:val="000000"/>
                <w:sz w:val="20"/>
                <w:szCs w:val="20"/>
              </w:rPr>
              <w:t xml:space="preserve">Verbal confirmation, logged by Abdullah.</w:t>
            </w:r>
          </w:p>
        </w:tc>
      </w:tr>
      <w:tr>
        <w:tc>
          <w:tcPr>
            <w:tcW w:type="dxa" w:w="2900"/>
            <w:shd w:fill="EAF0F6" w:color="auto" w:val="clear"/>
            <w:vAlign w:val="center"/>
          </w:tcPr>
          <w:p>
            <w:r>
              <w:rPr>
                <w:b w:val="false"/>
                <w:bCs w:val="false"/>
                <w:color w:val="000000"/>
                <w:sz w:val="20"/>
                <w:szCs w:val="20"/>
              </w:rPr>
              <w:t xml:space="preserve">Abdullah → Roaa (coaching)</w:t>
            </w:r>
          </w:p>
        </w:tc>
        <w:tc>
          <w:tcPr>
            <w:tcW w:type="dxa" w:w="3900"/>
            <w:shd w:fill="EAF0F6" w:color="auto" w:val="clear"/>
            <w:vAlign w:val="center"/>
          </w:tcPr>
          <w:p>
            <w:r>
              <w:rPr>
                <w:b w:val="false"/>
                <w:bCs w:val="false"/>
                <w:color w:val="000000"/>
                <w:sz w:val="20"/>
                <w:szCs w:val="20"/>
              </w:rPr>
              <w:t xml:space="preserve">Coaching direction and schedule; also copied to Nasser.</w:t>
            </w:r>
          </w:p>
        </w:tc>
        <w:tc>
          <w:tcPr>
            <w:tcW w:type="dxa" w:w="2700"/>
            <w:shd w:fill="EAF0F6" w:color="auto" w:val="clear"/>
            <w:vAlign w:val="center"/>
          </w:tcPr>
          <w:p>
            <w:r>
              <w:rPr>
                <w:b w:val="false"/>
                <w:bCs w:val="false"/>
                <w:color w:val="000000"/>
                <w:sz w:val="20"/>
                <w:szCs w:val="20"/>
              </w:rPr>
              <w:t xml:space="preserve">Roaa confirms; copy sent to Nasser.</w:t>
            </w:r>
          </w:p>
        </w:tc>
      </w:tr>
      <w:tr>
        <w:tc>
          <w:tcPr>
            <w:tcW w:type="dxa" w:w="2900"/>
            <w:vAlign w:val="center"/>
          </w:tcPr>
          <w:p>
            <w:r>
              <w:rPr>
                <w:b w:val="false"/>
                <w:bCs w:val="false"/>
                <w:color w:val="000000"/>
                <w:sz w:val="20"/>
                <w:szCs w:val="20"/>
              </w:rPr>
              <w:t xml:space="preserve">Nasser → Verna, Tareq</w:t>
            </w:r>
          </w:p>
        </w:tc>
        <w:tc>
          <w:tcPr>
            <w:tcW w:type="dxa" w:w="3900"/>
            <w:vAlign w:val="center"/>
          </w:tcPr>
          <w:p>
            <w:r>
              <w:rPr>
                <w:b w:val="false"/>
                <w:bCs w:val="false"/>
                <w:color w:val="000000"/>
                <w:sz w:val="20"/>
                <w:szCs w:val="20"/>
              </w:rPr>
              <w:t xml:space="preserve">Operations direction, bookings, member-process updates.</w:t>
            </w:r>
          </w:p>
        </w:tc>
        <w:tc>
          <w:tcPr>
            <w:tcW w:type="dxa" w:w="2700"/>
            <w:vAlign w:val="center"/>
          </w:tcPr>
          <w:p>
            <w:r>
              <w:rPr>
                <w:b w:val="false"/>
                <w:bCs w:val="false"/>
                <w:color w:val="000000"/>
                <w:sz w:val="20"/>
                <w:szCs w:val="20"/>
              </w:rPr>
              <w:t xml:space="preserve">Verbal confirmation, logged by Nasser.</w:t>
            </w:r>
          </w:p>
        </w:tc>
      </w:tr>
      <w:tr>
        <w:tc>
          <w:tcPr>
            <w:tcW w:type="dxa" w:w="2900"/>
            <w:shd w:fill="EAF0F6" w:color="auto" w:val="clear"/>
            <w:vAlign w:val="center"/>
          </w:tcPr>
          <w:p>
            <w:r>
              <w:rPr>
                <w:b w:val="false"/>
                <w:bCs w:val="false"/>
                <w:color w:val="000000"/>
                <w:sz w:val="20"/>
                <w:szCs w:val="20"/>
              </w:rPr>
              <w:t xml:space="preserve">Nasser → Roaa (Operations)</w:t>
            </w:r>
          </w:p>
        </w:tc>
        <w:tc>
          <w:tcPr>
            <w:tcW w:type="dxa" w:w="3900"/>
            <w:shd w:fill="EAF0F6" w:color="auto" w:val="clear"/>
            <w:vAlign w:val="center"/>
          </w:tcPr>
          <w:p>
            <w:r>
              <w:rPr>
                <w:b w:val="false"/>
                <w:bCs w:val="false"/>
                <w:color w:val="000000"/>
                <w:sz w:val="20"/>
                <w:szCs w:val="20"/>
              </w:rPr>
              <w:t xml:space="preserve">Operations tasks and priorities; visible to Abdullah if it affects coaching.</w:t>
            </w:r>
          </w:p>
        </w:tc>
        <w:tc>
          <w:tcPr>
            <w:tcW w:type="dxa" w:w="2700"/>
            <w:shd w:fill="EAF0F6" w:color="auto" w:val="clear"/>
            <w:vAlign w:val="center"/>
          </w:tcPr>
          <w:p>
            <w:r>
              <w:rPr>
                <w:b w:val="false"/>
                <w:bCs w:val="false"/>
                <w:color w:val="000000"/>
                <w:sz w:val="20"/>
                <w:szCs w:val="20"/>
              </w:rPr>
              <w:t xml:space="preserve">Roaa confirms; Abdullah notified if relevant.</w:t>
            </w:r>
          </w:p>
        </w:tc>
      </w:tr>
      <w:tr>
        <w:tc>
          <w:tcPr>
            <w:tcW w:type="dxa" w:w="2900"/>
            <w:vAlign w:val="center"/>
          </w:tcPr>
          <w:p>
            <w:r>
              <w:rPr>
                <w:b w:val="false"/>
                <w:bCs w:val="false"/>
                <w:color w:val="000000"/>
                <w:sz w:val="20"/>
                <w:szCs w:val="20"/>
              </w:rPr>
              <w:t xml:space="preserve">Maryam → Ayaa</w:t>
            </w:r>
          </w:p>
        </w:tc>
        <w:tc>
          <w:tcPr>
            <w:tcW w:type="dxa" w:w="3900"/>
            <w:vAlign w:val="center"/>
          </w:tcPr>
          <w:p>
            <w:r>
              <w:rPr>
                <w:b w:val="false"/>
                <w:bCs w:val="false"/>
                <w:color w:val="000000"/>
                <w:sz w:val="20"/>
                <w:szCs w:val="20"/>
              </w:rPr>
              <w:t xml:space="preserve">Marketing strategy and campaign direction.</w:t>
            </w:r>
          </w:p>
        </w:tc>
        <w:tc>
          <w:tcPr>
            <w:tcW w:type="dxa" w:w="2700"/>
            <w:vAlign w:val="center"/>
          </w:tcPr>
          <w:p>
            <w:r>
              <w:rPr>
                <w:b w:val="false"/>
                <w:bCs w:val="false"/>
                <w:color w:val="000000"/>
                <w:sz w:val="20"/>
                <w:szCs w:val="20"/>
              </w:rPr>
              <w:t xml:space="preserve">Ayaa confirms implementation.</w:t>
            </w:r>
          </w:p>
        </w:tc>
      </w:tr>
      <w:tr>
        <w:tc>
          <w:tcPr>
            <w:tcW w:type="dxa" w:w="2900"/>
            <w:shd w:fill="EAF0F6" w:color="auto" w:val="clear"/>
            <w:vAlign w:val="center"/>
          </w:tcPr>
          <w:p>
            <w:r>
              <w:rPr>
                <w:b w:val="false"/>
                <w:bCs w:val="false"/>
                <w:color w:val="000000"/>
                <w:sz w:val="20"/>
                <w:szCs w:val="20"/>
              </w:rPr>
              <w:t xml:space="preserve">Saud → his team</w:t>
            </w:r>
          </w:p>
        </w:tc>
        <w:tc>
          <w:tcPr>
            <w:tcW w:type="dxa" w:w="3900"/>
            <w:shd w:fill="EAF0F6" w:color="auto" w:val="clear"/>
            <w:vAlign w:val="center"/>
          </w:tcPr>
          <w:p>
            <w:r>
              <w:rPr>
                <w:b w:val="false"/>
                <w:bCs w:val="false"/>
                <w:color w:val="000000"/>
                <w:sz w:val="20"/>
                <w:szCs w:val="20"/>
              </w:rPr>
              <w:t xml:space="preserve">Not yet applicable — no subordinates defined yet.</w:t>
            </w:r>
          </w:p>
        </w:tc>
        <w:tc>
          <w:tcPr>
            <w:tcW w:type="dxa" w:w="2700"/>
            <w:shd w:fill="EAF0F6" w:color="auto" w:val="clear"/>
            <w:vAlign w:val="center"/>
          </w:tcPr>
          <w:p>
            <w:r>
              <w:rPr>
                <w:b w:val="false"/>
                <w:bCs w:val="false"/>
                <w:color w:val="000000"/>
                <w:sz w:val="20"/>
                <w:szCs w:val="20"/>
              </w:rPr>
              <w:t xml:space="preserve">To be added once scope/team are confirmed.</w:t>
            </w:r>
          </w:p>
        </w:tc>
      </w:tr>
    </w:tbl>
    <w:p>
      <w:pPr>
        <w:pStyle w:val="Heading1"/>
        <w:spacing w:after="140" w:before="320"/>
      </w:pPr>
      <w:r>
        <w:t xml:space="preserve">5. Level 3 → Level 2 → Level 1 — Reporting Upward</w:t>
      </w:r>
    </w:p>
    <w:p>
      <w:pPr>
        <w:spacing w:after="140"/>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81200"/>
                    </a:xfrm>
                    <a:prstGeom prst="rect">
                      <a:avLst/>
                    </a:prstGeom>
                  </pic:spPr>
                </pic:pic>
              </a:graphicData>
            </a:graphic>
          </wp:inline>
        </w:drawing>
      </w:r>
    </w:p>
    <w:p>
      <w:pPr>
        <w:pStyle w:val="Heading2"/>
        <w:spacing w:after="90" w:before="200"/>
      </w:pPr>
      <w:r>
        <w:t xml:space="preserve">Monthly Reporting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F3A5F" w:color="auto" w:val="clear"/>
            <w:vAlign w:val="center"/>
          </w:tcPr>
          <w:p>
            <w:r>
              <w:rPr>
                <w:b/>
                <w:bCs/>
                <w:color w:val="FFFFFF"/>
                <w:sz w:val="20"/>
                <w:szCs w:val="20"/>
              </w:rPr>
              <w:t xml:space="preserve">From → To</w:t>
            </w:r>
          </w:p>
        </w:tc>
        <w:tc>
          <w:tcPr>
            <w:tcW w:type="dxa" w:w="4200"/>
            <w:shd w:fill="1F3A5F" w:color="auto" w:val="clear"/>
            <w:vAlign w:val="center"/>
          </w:tcPr>
          <w:p>
            <w:r>
              <w:rPr>
                <w:b/>
                <w:bCs/>
                <w:color w:val="FFFFFF"/>
                <w:sz w:val="20"/>
                <w:szCs w:val="20"/>
              </w:rPr>
              <w:t xml:space="preserve">What Moves</w:t>
            </w:r>
          </w:p>
        </w:tc>
        <w:tc>
          <w:tcPr>
            <w:tcW w:type="dxa" w:w="2300"/>
            <w:shd w:fill="1F3A5F" w:color="auto" w:val="clear"/>
            <w:vAlign w:val="center"/>
          </w:tcPr>
          <w:p>
            <w:r>
              <w:rPr>
                <w:b/>
                <w:bCs/>
                <w:color w:val="FFFFFF"/>
                <w:sz w:val="20"/>
                <w:szCs w:val="20"/>
              </w:rPr>
              <w:t xml:space="preserve">Frequency</w:t>
            </w:r>
          </w:p>
        </w:tc>
      </w:tr>
      <w:tr>
        <w:tc>
          <w:tcPr>
            <w:tcW w:type="dxa" w:w="3000"/>
            <w:vAlign w:val="center"/>
          </w:tcPr>
          <w:p>
            <w:r>
              <w:rPr>
                <w:b w:val="false"/>
                <w:bCs w:val="false"/>
                <w:color w:val="000000"/>
                <w:sz w:val="20"/>
                <w:szCs w:val="20"/>
              </w:rPr>
              <w:t xml:space="preserve">Staff → their function lead</w:t>
            </w:r>
          </w:p>
        </w:tc>
        <w:tc>
          <w:tcPr>
            <w:tcW w:type="dxa" w:w="4200"/>
            <w:vAlign w:val="center"/>
          </w:tcPr>
          <w:p>
            <w:r>
              <w:rPr>
                <w:b w:val="false"/>
                <w:bCs w:val="false"/>
                <w:color w:val="000000"/>
                <w:sz w:val="20"/>
                <w:szCs w:val="20"/>
              </w:rPr>
              <w:t xml:space="preserve">Attendance, progress, bookings, routine concerns.</w:t>
            </w:r>
          </w:p>
        </w:tc>
        <w:tc>
          <w:tcPr>
            <w:tcW w:type="dxa" w:w="2300"/>
            <w:vAlign w:val="center"/>
          </w:tcPr>
          <w:p>
            <w:r>
              <w:rPr>
                <w:b w:val="false"/>
                <w:bCs w:val="false"/>
                <w:color w:val="000000"/>
                <w:sz w:val="20"/>
                <w:szCs w:val="20"/>
              </w:rPr>
              <w:t xml:space="preserve">Ongoing / per class or shift.</w:t>
            </w:r>
          </w:p>
        </w:tc>
      </w:tr>
      <w:tr>
        <w:tc>
          <w:tcPr>
            <w:tcW w:type="dxa" w:w="3000"/>
            <w:shd w:fill="EAF0F6" w:color="auto" w:val="clear"/>
            <w:vAlign w:val="center"/>
          </w:tcPr>
          <w:p>
            <w:r>
              <w:rPr>
                <w:b w:val="false"/>
                <w:bCs w:val="false"/>
                <w:color w:val="000000"/>
                <w:sz w:val="20"/>
                <w:szCs w:val="20"/>
              </w:rPr>
              <w:t xml:space="preserve">Abdullah → Dakhil</w:t>
            </w:r>
          </w:p>
        </w:tc>
        <w:tc>
          <w:tcPr>
            <w:tcW w:type="dxa" w:w="4200"/>
            <w:shd w:fill="EAF0F6" w:color="auto" w:val="clear"/>
            <w:vAlign w:val="center"/>
          </w:tcPr>
          <w:p>
            <w:r>
              <w:rPr>
                <w:b w:val="false"/>
                <w:bCs w:val="false"/>
                <w:color w:val="000000"/>
                <w:sz w:val="20"/>
                <w:szCs w:val="20"/>
              </w:rPr>
              <w:t xml:space="preserve">Attendance trends and unresolved concerns.</w:t>
            </w:r>
          </w:p>
        </w:tc>
        <w:tc>
          <w:tcPr>
            <w:tcW w:type="dxa" w:w="2300"/>
            <w:shd w:fill="EAF0F6" w:color="auto" w:val="clear"/>
            <w:vAlign w:val="center"/>
          </w:tcPr>
          <w:p>
            <w:r>
              <w:rPr>
                <w:b w:val="false"/>
                <w:bCs w:val="false"/>
                <w:color w:val="000000"/>
                <w:sz w:val="20"/>
                <w:szCs w:val="20"/>
              </w:rPr>
              <w:t xml:space="preserve">Monthly.</w:t>
            </w:r>
          </w:p>
        </w:tc>
      </w:tr>
      <w:tr>
        <w:tc>
          <w:tcPr>
            <w:tcW w:type="dxa" w:w="3000"/>
            <w:vAlign w:val="center"/>
          </w:tcPr>
          <w:p>
            <w:r>
              <w:rPr>
                <w:b w:val="false"/>
                <w:bCs w:val="false"/>
                <w:color w:val="000000"/>
                <w:sz w:val="20"/>
                <w:szCs w:val="20"/>
              </w:rPr>
              <w:t xml:space="preserve">Nasser → Dakhil</w:t>
            </w:r>
          </w:p>
        </w:tc>
        <w:tc>
          <w:tcPr>
            <w:tcW w:type="dxa" w:w="4200"/>
            <w:vAlign w:val="center"/>
          </w:tcPr>
          <w:p>
            <w:r>
              <w:rPr>
                <w:b w:val="false"/>
                <w:bCs w:val="false"/>
                <w:color w:val="000000"/>
                <w:sz w:val="20"/>
                <w:szCs w:val="20"/>
              </w:rPr>
              <w:t xml:space="preserve">Leads, conversion, retention.</w:t>
            </w:r>
          </w:p>
        </w:tc>
        <w:tc>
          <w:tcPr>
            <w:tcW w:type="dxa" w:w="2300"/>
            <w:vAlign w:val="center"/>
          </w:tcPr>
          <w:p>
            <w:r>
              <w:rPr>
                <w:b w:val="false"/>
                <w:bCs w:val="false"/>
                <w:color w:val="000000"/>
                <w:sz w:val="20"/>
                <w:szCs w:val="20"/>
              </w:rPr>
              <w:t xml:space="preserve">Monthly.</w:t>
            </w:r>
          </w:p>
        </w:tc>
      </w:tr>
      <w:tr>
        <w:tc>
          <w:tcPr>
            <w:tcW w:type="dxa" w:w="3000"/>
            <w:shd w:fill="EAF0F6" w:color="auto" w:val="clear"/>
            <w:vAlign w:val="center"/>
          </w:tcPr>
          <w:p>
            <w:r>
              <w:rPr>
                <w:b w:val="false"/>
                <w:bCs w:val="false"/>
                <w:color w:val="000000"/>
                <w:sz w:val="20"/>
                <w:szCs w:val="20"/>
              </w:rPr>
              <w:t xml:space="preserve">Maryam → Dakhil</w:t>
            </w:r>
          </w:p>
        </w:tc>
        <w:tc>
          <w:tcPr>
            <w:tcW w:type="dxa" w:w="4200"/>
            <w:shd w:fill="EAF0F6" w:color="auto" w:val="clear"/>
            <w:vAlign w:val="center"/>
          </w:tcPr>
          <w:p>
            <w:r>
              <w:rPr>
                <w:b w:val="false"/>
                <w:bCs w:val="false"/>
                <w:color w:val="000000"/>
                <w:sz w:val="20"/>
                <w:szCs w:val="20"/>
              </w:rPr>
              <w:t xml:space="preserve">Campaign results and community growth.</w:t>
            </w:r>
          </w:p>
        </w:tc>
        <w:tc>
          <w:tcPr>
            <w:tcW w:type="dxa" w:w="2300"/>
            <w:shd w:fill="EAF0F6" w:color="auto" w:val="clear"/>
            <w:vAlign w:val="center"/>
          </w:tcPr>
          <w:p>
            <w:r>
              <w:rPr>
                <w:b w:val="false"/>
                <w:bCs w:val="false"/>
                <w:color w:val="000000"/>
                <w:sz w:val="20"/>
                <w:szCs w:val="20"/>
              </w:rPr>
              <w:t xml:space="preserve">Monthly.</w:t>
            </w:r>
          </w:p>
        </w:tc>
      </w:tr>
      <w:tr>
        <w:tc>
          <w:tcPr>
            <w:tcW w:type="dxa" w:w="3000"/>
            <w:vAlign w:val="center"/>
          </w:tcPr>
          <w:p>
            <w:r>
              <w:rPr>
                <w:b w:val="false"/>
                <w:bCs w:val="false"/>
                <w:color w:val="000000"/>
                <w:sz w:val="20"/>
                <w:szCs w:val="20"/>
              </w:rPr>
              <w:t xml:space="preserve">Saud → Dakhil</w:t>
            </w:r>
          </w:p>
        </w:tc>
        <w:tc>
          <w:tcPr>
            <w:tcW w:type="dxa" w:w="4200"/>
            <w:vAlign w:val="center"/>
          </w:tcPr>
          <w:p>
            <w:r>
              <w:rPr>
                <w:b w:val="false"/>
                <w:bCs w:val="false"/>
                <w:color w:val="000000"/>
                <w:sz w:val="20"/>
                <w:szCs w:val="20"/>
              </w:rPr>
              <w:t xml:space="preserve">Systems/IT status and open requests.</w:t>
            </w:r>
          </w:p>
        </w:tc>
        <w:tc>
          <w:tcPr>
            <w:tcW w:type="dxa" w:w="2300"/>
            <w:vAlign w:val="center"/>
          </w:tcPr>
          <w:p>
            <w:r>
              <w:rPr>
                <w:b w:val="false"/>
                <w:bCs w:val="false"/>
                <w:color w:val="000000"/>
                <w:sz w:val="20"/>
                <w:szCs w:val="20"/>
              </w:rPr>
              <w:t xml:space="preserve">Cadence to be confirmed.</w:t>
            </w:r>
          </w:p>
        </w:tc>
      </w:tr>
    </w:tbl>
    <w:p>
      <w:pPr>
        <w:pStyle w:val="Heading2"/>
        <w:spacing w:after="90" w:before="200"/>
      </w:pPr>
      <w:r>
        <w:t xml:space="preserve">Between Reports &amp; Urgent Escalation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F3A5F" w:color="auto" w:val="clear"/>
            <w:vAlign w:val="center"/>
          </w:tcPr>
          <w:p>
            <w:r>
              <w:rPr>
                <w:b/>
                <w:bCs/>
                <w:color w:val="FFFFFF"/>
                <w:sz w:val="20"/>
                <w:szCs w:val="20"/>
              </w:rPr>
              <w:t xml:space="preserve">From → To</w:t>
            </w:r>
          </w:p>
        </w:tc>
        <w:tc>
          <w:tcPr>
            <w:tcW w:type="dxa" w:w="4200"/>
            <w:shd w:fill="1F3A5F" w:color="auto" w:val="clear"/>
            <w:vAlign w:val="center"/>
          </w:tcPr>
          <w:p>
            <w:r>
              <w:rPr>
                <w:b/>
                <w:bCs/>
                <w:color w:val="FFFFFF"/>
                <w:sz w:val="20"/>
                <w:szCs w:val="20"/>
              </w:rPr>
              <w:t xml:space="preserve">What Moves</w:t>
            </w:r>
          </w:p>
        </w:tc>
        <w:tc>
          <w:tcPr>
            <w:tcW w:type="dxa" w:w="2300"/>
            <w:shd w:fill="1F3A5F" w:color="auto" w:val="clear"/>
            <w:vAlign w:val="center"/>
          </w:tcPr>
          <w:p>
            <w:r>
              <w:rPr>
                <w:b/>
                <w:bCs/>
                <w:color w:val="FFFFFF"/>
                <w:sz w:val="20"/>
                <w:szCs w:val="20"/>
              </w:rPr>
              <w:t xml:space="preserve">Channel / Timing</w:t>
            </w:r>
          </w:p>
        </w:tc>
      </w:tr>
      <w:tr>
        <w:tc>
          <w:tcPr>
            <w:tcW w:type="dxa" w:w="3000"/>
            <w:vAlign w:val="center"/>
          </w:tcPr>
          <w:p>
            <w:r>
              <w:rPr>
                <w:b w:val="false"/>
                <w:bCs w:val="false"/>
                <w:color w:val="000000"/>
                <w:sz w:val="20"/>
                <w:szCs w:val="20"/>
              </w:rPr>
              <w:t xml:space="preserve">Any lead → Dakhil</w:t>
            </w:r>
          </w:p>
        </w:tc>
        <w:tc>
          <w:tcPr>
            <w:tcW w:type="dxa" w:w="4200"/>
            <w:vAlign w:val="center"/>
          </w:tcPr>
          <w:p>
            <w:r>
              <w:rPr>
                <w:b w:val="false"/>
                <w:bCs w:val="false"/>
                <w:color w:val="000000"/>
                <w:sz w:val="20"/>
                <w:szCs w:val="20"/>
              </w:rPr>
              <w:t xml:space="preserve">Updates, issues, or other urgent matters between monthly reports.</w:t>
            </w:r>
          </w:p>
        </w:tc>
        <w:tc>
          <w:tcPr>
            <w:tcW w:type="dxa" w:w="2300"/>
            <w:vAlign w:val="center"/>
          </w:tcPr>
          <w:p>
            <w:r>
              <w:rPr>
                <w:b w:val="false"/>
                <w:bCs w:val="false"/>
                <w:color w:val="000000"/>
                <w:sz w:val="20"/>
                <w:szCs w:val="20"/>
              </w:rPr>
              <w:t xml:space="preserve">Email, acknowledged by Dakhil / Operations Manager.</w:t>
            </w:r>
          </w:p>
        </w:tc>
      </w:tr>
      <w:tr>
        <w:tc>
          <w:tcPr>
            <w:tcW w:type="dxa" w:w="3000"/>
            <w:shd w:fill="EAF0F6" w:color="auto" w:val="clear"/>
            <w:vAlign w:val="center"/>
          </w:tcPr>
          <w:p>
            <w:r>
              <w:rPr>
                <w:b w:val="false"/>
                <w:bCs w:val="false"/>
                <w:color w:val="000000"/>
                <w:sz w:val="20"/>
                <w:szCs w:val="20"/>
              </w:rPr>
              <w:t xml:space="preserve">Any staff → their lead → Dakhil</w:t>
            </w:r>
          </w:p>
        </w:tc>
        <w:tc>
          <w:tcPr>
            <w:tcW w:type="dxa" w:w="4200"/>
            <w:shd w:fill="EAF0F6" w:color="auto" w:val="clear"/>
            <w:vAlign w:val="center"/>
          </w:tcPr>
          <w:p>
            <w:r>
              <w:rPr>
                <w:b w:val="false"/>
                <w:bCs w:val="false"/>
                <w:color w:val="000000"/>
                <w:sz w:val="20"/>
                <w:szCs w:val="20"/>
              </w:rPr>
              <w:t xml:space="preserve">Safety or conduct concerns.</w:t>
            </w:r>
          </w:p>
        </w:tc>
        <w:tc>
          <w:tcPr>
            <w:tcW w:type="dxa" w:w="2300"/>
            <w:shd w:fill="EAF0F6" w:color="auto" w:val="clear"/>
            <w:vAlign w:val="center"/>
          </w:tcPr>
          <w:p>
            <w:r>
              <w:rPr>
                <w:b w:val="false"/>
                <w:bCs w:val="false"/>
                <w:color w:val="000000"/>
                <w:sz w:val="20"/>
                <w:szCs w:val="20"/>
              </w:rPr>
              <w:t xml:space="preserve">Same-day to lead; escalated to Dakhil within 24 hours.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e58ef08582826994be244ce0fa3a1a8c09e50a.png"/><Relationship Id="rId8" Type="http://schemas.openxmlformats.org/officeDocument/2006/relationships/image" Target="media/ccc1085875c644a4ec5261d632b1bdd63a2f8fc0.png"/><Relationship Id="rId9" Type="http://schemas.openxmlformats.org/officeDocument/2006/relationships/image" Target="media/d11eba290c5b11b49a73b49cfe0b69415434ad54.png"/><Relationship Id="rId10" Type="http://schemas.openxmlformats.org/officeDocument/2006/relationships/image" Target="media/10e4ce23a09bee01d36a5f23fd3cd504854824f1.png"/><Relationship Id="rId11" Type="http://schemas.openxmlformats.org/officeDocument/2006/relationships/image" Target="media/13d66d8d3f69093056910d721d8342b1e2926e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2026-09-14T06:47:41.521Z</dcterms:created>
  <dcterms:modified xsi:type="dcterms:W3CDTF">2026-09-14T06:47:41.521Z</dcterms:modified>
</cp:coreProperties>
</file>

<file path=docProps/custom.xml><?xml version="1.0" encoding="utf-8"?>
<Properties xmlns="http://schemas.openxmlformats.org/officeDocument/2006/custom-properties" xmlns:vt="http://schemas.openxmlformats.org/officeDocument/2006/docPropsVTypes"/>
</file>