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drawing>
          <wp:inline distT="0" distB="0" distL="0" distR="0">
            <wp:extent cx="2095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781050"/>
                    </a:xfrm>
                    <a:prstGeom prst="rect">
                      <a:avLst/>
                    </a:prstGeom>
                  </pic:spPr>
                </pic:pic>
              </a:graphicData>
            </a:graphic>
          </wp:inline>
        </w:drawing>
      </w:r>
    </w:p>
    <w:p>
      <w:pPr>
        <w:spacing w:after="80"/>
      </w:pPr>
      <w:r>
        <w:rPr>
          <w:b/>
          <w:bCs/>
          <w:color w:val="1F3864"/>
          <w:sz w:val="44"/>
          <w:szCs w:val="44"/>
        </w:rPr>
        <w:t xml:space="preserve">HOW WE WORK TOGETHER</w:t>
      </w:r>
    </w:p>
    <w:p>
      <w:pPr>
        <w:spacing w:after="400"/>
      </w:pPr>
      <w:r>
        <w:rPr>
          <w:i/>
          <w:iCs/>
          <w:color w:val="444444"/>
          <w:sz w:val="26"/>
          <w:szCs w:val="26"/>
        </w:rPr>
        <w:t xml:space="preserve">Operating &amp; Communication Playbook — Consolidated Edition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vAlign w:val="center"/>
          </w:tcPr>
          <w:p>
            <w:r>
              <w:rPr>
                <w:b/>
                <w:bCs/>
                <w:color w:val="FFFFFF"/>
              </w:rPr>
              <w:t xml:space="preserve">Field</w:t>
            </w:r>
          </w:p>
        </w:tc>
        <w:tc>
          <w:tcPr>
            <w:tcW w:type="dxa" w:w="6300"/>
            <w:shd w:fill="1F3864" w:color="auto" w:val="clear"/>
            <w:vAlign w:val="center"/>
          </w:tcPr>
          <w:p>
            <w:r>
              <w:rPr>
                <w:b/>
                <w:bCs/>
                <w:color w:val="FFFFFF"/>
              </w:rPr>
              <w:t xml:space="preserve">Detail</w:t>
            </w:r>
          </w:p>
        </w:tc>
      </w:tr>
      <w:tr>
        <w:tc>
          <w:tcPr>
            <w:tcW w:type="dxa" w:w="3200"/>
            <w:vAlign w:val="center"/>
          </w:tcPr>
          <w:p>
            <w:r>
              <w:rPr>
                <w:b w:val="false"/>
                <w:bCs w:val="false"/>
                <w:color w:val="000000"/>
              </w:rPr>
              <w:t xml:space="preserve">Document Number</w:t>
            </w:r>
          </w:p>
        </w:tc>
        <w:tc>
          <w:tcPr>
            <w:tcW w:type="dxa" w:w="6300"/>
            <w:vAlign w:val="center"/>
          </w:tcPr>
          <w:p>
            <w:r>
              <w:rPr>
                <w:b w:val="false"/>
                <w:bCs w:val="false"/>
                <w:color w:val="000000"/>
              </w:rPr>
              <w:t xml:space="preserve">EA-COMM-PLAY-01</w:t>
            </w:r>
          </w:p>
        </w:tc>
      </w:tr>
      <w:tr>
        <w:tc>
          <w:tcPr>
            <w:tcW w:type="dxa" w:w="3200"/>
            <w:vAlign w:val="center"/>
          </w:tcPr>
          <w:p>
            <w:r>
              <w:rPr>
                <w:b w:val="false"/>
                <w:bCs w:val="false"/>
                <w:color w:val="000000"/>
              </w:rPr>
              <w:t xml:space="preserve">Version</w:t>
            </w:r>
          </w:p>
        </w:tc>
        <w:tc>
          <w:tcPr>
            <w:tcW w:type="dxa" w:w="6300"/>
            <w:vAlign w:val="center"/>
          </w:tcPr>
          <w:p>
            <w:r>
              <w:rPr>
                <w:b w:val="false"/>
                <w:bCs w:val="false"/>
                <w:color w:val="000000"/>
              </w:rPr>
              <w:t xml:space="preserve">3.2 (Verna/Tareq designated Branch Admin)</w:t>
            </w:r>
          </w:p>
        </w:tc>
      </w:tr>
      <w:tr>
        <w:tc>
          <w:tcPr>
            <w:tcW w:type="dxa" w:w="3200"/>
            <w:vAlign w:val="center"/>
          </w:tcPr>
          <w:p>
            <w:r>
              <w:rPr>
                <w:b w:val="false"/>
                <w:bCs w:val="false"/>
                <w:color w:val="000000"/>
              </w:rPr>
              <w:t xml:space="preserve">Effective Date</w:t>
            </w:r>
          </w:p>
        </w:tc>
        <w:tc>
          <w:tcPr>
            <w:tcW w:type="dxa" w:w="6300"/>
            <w:vAlign w:val="center"/>
          </w:tcPr>
          <w:p>
            <w:r>
              <w:rPr>
                <w:b w:val="false"/>
                <w:bCs w:val="false"/>
                <w:color w:val="000000"/>
              </w:rPr>
              <w:t xml:space="preserve">13-Sep-2026</w:t>
            </w:r>
          </w:p>
        </w:tc>
      </w:tr>
      <w:tr>
        <w:tc>
          <w:tcPr>
            <w:tcW w:type="dxa" w:w="3200"/>
            <w:vAlign w:val="center"/>
          </w:tcPr>
          <w:p>
            <w:r>
              <w:rPr>
                <w:b w:val="false"/>
                <w:bCs w:val="false"/>
                <w:color w:val="000000"/>
              </w:rPr>
              <w:t xml:space="preserve">Document Owner</w:t>
            </w:r>
          </w:p>
        </w:tc>
        <w:tc>
          <w:tcPr>
            <w:tcW w:type="dxa" w:w="6300"/>
            <w:vAlign w:val="center"/>
          </w:tcPr>
          <w:p>
            <w:r>
              <w:rPr>
                <w:b w:val="false"/>
                <w:bCs w:val="false"/>
                <w:color w:val="000000"/>
              </w:rPr>
              <w:t xml:space="preserve">Operations Manager</w:t>
            </w:r>
          </w:p>
        </w:tc>
      </w:tr>
    </w:tbl>
    <w:p>
      <w:pPr>
        <w:spacing w:after="300"/>
      </w:pPr>
    </w:p>
    <w:p>
      <w:pPr>
        <w:spacing w:after="120" w:before="100"/>
      </w:pPr>
      <w:r>
        <w:rPr>
          <w:b/>
          <w:bCs/>
          <w:color w:val="1F3864"/>
          <w:sz w:val="26"/>
          <w:szCs w:val="26"/>
        </w:rPr>
        <w:t xml:space="preserve">Document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Pr>
          <w:p>
            <w:r>
              <w:rPr>
                <w:b/>
                <w:bCs/>
                <w:color w:val="1F3864"/>
              </w:rPr>
              <w:t xml:space="preserve">Prepared By — Designation</w:t>
            </w:r>
          </w:p>
          <w:p>
            <w:r>
              <w:t xml:space="preserve">Operations Manager</w:t>
            </w:r>
          </w:p>
        </w:tc>
        <w:tc>
          <w:tcPr>
            <w:tcW w:type="dxa" w:w="4750"/>
          </w:tcPr>
          <w:p>
            <w:r>
              <w:rPr>
                <w:b/>
                <w:bCs/>
                <w:color w:val="1F3864"/>
              </w:rPr>
              <w:t xml:space="preserve">Approved By — Designation</w:t>
            </w:r>
          </w:p>
          <w:p>
            <w:r>
              <w:t xml:space="preserve">Chief Executive Officer</w:t>
            </w:r>
          </w:p>
        </w:tc>
      </w:tr>
      <w:tr>
        <w:tc>
          <w:tcPr>
            <w:tcW w:type="dxa" w:w="4750"/>
          </w:tcPr>
          <w:p>
            <w:r>
              <w:rPr>
                <w:b/>
                <w:bCs/>
                <w:color w:val="1F3864"/>
              </w:rPr>
              <w:t xml:space="preserve">Name</w:t>
            </w:r>
          </w:p>
          <w:p/>
        </w:tc>
        <w:tc>
          <w:tcPr>
            <w:tcW w:type="dxa" w:w="4750"/>
          </w:tcPr>
          <w:p>
            <w:r>
              <w:rPr>
                <w:b/>
                <w:bCs/>
                <w:color w:val="1F3864"/>
              </w:rPr>
              <w:t xml:space="preserve">Name</w:t>
            </w:r>
          </w:p>
          <w:p/>
        </w:tc>
      </w:tr>
      <w:tr>
        <w:tc>
          <w:tcPr>
            <w:tcW w:type="dxa" w:w="4750"/>
          </w:tcPr>
          <w:p>
            <w:r>
              <w:rPr>
                <w:b/>
                <w:bCs/>
                <w:color w:val="1F3864"/>
              </w:rPr>
              <w:t xml:space="preserve">Signature</w:t>
            </w:r>
          </w:p>
          <w:p/>
        </w:tc>
        <w:tc>
          <w:tcPr>
            <w:tcW w:type="dxa" w:w="4750"/>
          </w:tcPr>
          <w:p>
            <w:r>
              <w:rPr>
                <w:b/>
                <w:bCs/>
                <w:color w:val="1F3864"/>
              </w:rPr>
              <w:t xml:space="preserve">Signature</w:t>
            </w:r>
          </w:p>
          <w:p/>
        </w:tc>
      </w:tr>
      <w:tr>
        <w:tc>
          <w:tcPr>
            <w:tcW w:type="dxa" w:w="4750"/>
          </w:tcPr>
          <w:p>
            <w:r>
              <w:rPr>
                <w:b/>
                <w:bCs/>
                <w:color w:val="1F3864"/>
              </w:rPr>
              <w:t xml:space="preserve">Date</w:t>
            </w:r>
          </w:p>
          <w:p/>
        </w:tc>
        <w:tc>
          <w:tcPr>
            <w:tcW w:type="dxa" w:w="4750"/>
          </w:tcPr>
          <w:p>
            <w:r>
              <w:rPr>
                <w:b/>
                <w:bCs/>
                <w:color w:val="1F3864"/>
              </w:rPr>
              <w:t xml:space="preserve">Date</w:t>
            </w:r>
          </w:p>
          <w:p/>
        </w:tc>
      </w:tr>
    </w:tbl>
    <w:p>
      <w:pPr>
        <w:spacing w:after="260"/>
      </w:pPr>
    </w:p>
    <w:p>
      <w:pPr>
        <w:pBdr>
          <w:left w:val="single" w:color="B7791F" w:sz="12" w:space="8"/>
        </w:pBdr>
        <w:spacing w:after="160"/>
        <w:ind w:left="200"/>
      </w:pPr>
      <w:r>
        <w:rPr>
          <w:i/>
          <w:iCs/>
          <w:color w:val="555555"/>
        </w:rPr>
        <w:t xml:space="preserve">Version 3.0 aligns the playbook with everything settled since v2.0: Roaa's reporting line is confirmed, upward reporting moves to the monthly + email rhythm defined in the Communication Procedure, and the organization chart is now included as Appendix B. Remaining open items are trimmed to what's still genuinely undecided — two additional items (Roaa's cc mechanism and Saud's reporting cadence) are tracked separately in the Communication Procedure Open Items document (EA-COMM-OPEN-01).</w:t>
      </w:r>
    </w:p>
    <w:p>
      <w:pPr>
        <w:pageBreakBefore/>
      </w:pPr>
      <w:r>
        <w:br/>
        <w:t xml:space="preserve"/>
      </w:r>
    </w:p>
    <w:p>
      <w:pPr>
        <w:pStyle w:val="Heading1"/>
        <w:spacing w:after="160" w:before="360"/>
      </w:pPr>
      <w:r>
        <w:t xml:space="preserve">1. What We Stand For</w:t>
      </w:r>
    </w:p>
    <w:p>
      <w:pPr>
        <w:spacing w:after="160"/>
      </w:pPr>
      <w:r>
        <w:rPr>
          <w:b/>
          <w:bCs/>
          <w:i w:val="false"/>
          <w:iCs w:val="false"/>
        </w:rPr>
        <w:t xml:space="preserve">We build better humans.</w:t>
      </w:r>
    </w:p>
    <w:p>
      <w:pPr>
        <w:spacing w:after="160"/>
      </w:pPr>
      <w:r>
        <w:rPr>
          <w:b w:val="false"/>
          <w:bCs w:val="false"/>
          <w:i w:val="false"/>
          <w:iCs w:val="false"/>
        </w:rPr>
        <w:t xml:space="preserve">Elite Academy contributes to a better society through martial arts — building character, discipline, and responsibility for ourselves and others.</w:t>
      </w:r>
    </w:p>
    <w:p>
      <w:pPr>
        <w:pStyle w:val="Heading2"/>
        <w:spacing w:after="120" w:before="240"/>
      </w:pPr>
      <w:r>
        <w:t xml:space="preserve">Our Five Principles</w:t>
      </w:r>
    </w:p>
    <w:p>
      <w:pPr>
        <w:pStyle w:val="ListParagraph"/>
        <w:numPr>
          <w:ilvl w:val="0"/>
          <w:numId w:val="2"/>
        </w:numPr>
        <w:spacing w:after="80"/>
      </w:pPr>
      <w:r>
        <w:t xml:space="preserve">Safety First — If it's not safe, we don't do it. Safe training, safe places, safe treatment of children.</w:t>
      </w:r>
    </w:p>
    <w:p>
      <w:pPr>
        <w:pStyle w:val="ListParagraph"/>
        <w:numPr>
          <w:ilvl w:val="0"/>
          <w:numId w:val="2"/>
        </w:numPr>
        <w:spacing w:after="80"/>
      </w:pPr>
      <w:r>
        <w:t xml:space="preserve">Discipline — Show up. Repeat. Improve. Do it over and over to achieve speed and perfect technique.</w:t>
      </w:r>
    </w:p>
    <w:p>
      <w:pPr>
        <w:pStyle w:val="ListParagraph"/>
        <w:numPr>
          <w:ilvl w:val="0"/>
          <w:numId w:val="2"/>
        </w:numPr>
        <w:spacing w:after="80"/>
      </w:pPr>
      <w:r>
        <w:t xml:space="preserve">Accountability — Own your choices. Get back up. Learn from mistakes. Take responsibility for what comes next.</w:t>
      </w:r>
    </w:p>
    <w:p>
      <w:pPr>
        <w:pStyle w:val="ListParagraph"/>
        <w:numPr>
          <w:ilvl w:val="0"/>
          <w:numId w:val="2"/>
        </w:numPr>
        <w:spacing w:after="80"/>
      </w:pPr>
      <w:r>
        <w:t xml:space="preserve">Tough Love — Be the example. Hold the standard. Firm, fair, and caring. Earn respect through actions.</w:t>
      </w:r>
    </w:p>
    <w:p>
      <w:pPr>
        <w:pStyle w:val="ListParagraph"/>
        <w:numPr>
          <w:ilvl w:val="0"/>
          <w:numId w:val="2"/>
        </w:numPr>
        <w:spacing w:after="80"/>
      </w:pPr>
      <w:r>
        <w:t xml:space="preserve">Team First — Respect the individual. Protect the group. Don't be afraid to remove a member when needed.</w:t>
      </w:r>
    </w:p>
    <w:p>
      <w:pPr>
        <w:spacing w:after="160"/>
      </w:pPr>
      <w:r>
        <w:rPr>
          <w:b w:val="false"/>
          <w:bCs w:val="false"/>
          <w:i/>
          <w:iCs/>
        </w:rPr>
        <w:t xml:space="preserve">Safety supports everything: people, character, opportunity, and a better society.</w:t>
      </w:r>
    </w:p>
    <w:p>
      <w:pPr>
        <w:pStyle w:val="Heading1"/>
        <w:spacing w:after="160" w:before="360"/>
      </w:pPr>
      <w:r>
        <w:t xml:space="preserve">2. Who Does What — Organization Structure</w:t>
      </w:r>
    </w:p>
    <w:p>
      <w:pPr>
        <w:spacing w:after="160"/>
      </w:pPr>
      <w:r>
        <w:rPr>
          <w:b w:val="false"/>
          <w:bCs w:val="false"/>
          <w:i w:val="false"/>
          <w:iCs w:val="false"/>
        </w:rPr>
        <w:t xml:space="preserve">Dakhil holds direction and alignment for Elite Academy as a whole. Four functions report directly, per the Management Meeting notes (10-Sep-2026):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900"/>
      </w:tblGrid>
      <w:tr>
        <w:trPr>
          <w:tblHeader/>
        </w:trPr>
        <w:tc>
          <w:tcPr>
            <w:tcW w:type="dxa" w:w="3000"/>
            <w:shd w:fill="1F3864" w:color="auto" w:val="clear"/>
            <w:vAlign w:val="center"/>
          </w:tcPr>
          <w:p>
            <w:r>
              <w:rPr>
                <w:b/>
                <w:bCs/>
                <w:color w:val="FFFFFF"/>
              </w:rPr>
              <w:t xml:space="preserve">Function</w:t>
            </w:r>
          </w:p>
        </w:tc>
        <w:tc>
          <w:tcPr>
            <w:tcW w:type="dxa" w:w="1600"/>
            <w:shd w:fill="1F3864" w:color="auto" w:val="clear"/>
            <w:vAlign w:val="center"/>
          </w:tcPr>
          <w:p>
            <w:r>
              <w:rPr>
                <w:b/>
                <w:bCs/>
                <w:color w:val="FFFFFF"/>
              </w:rPr>
              <w:t xml:space="preserve">Lead</w:t>
            </w:r>
          </w:p>
        </w:tc>
        <w:tc>
          <w:tcPr>
            <w:tcW w:type="dxa" w:w="4900"/>
            <w:shd w:fill="1F3864" w:color="auto" w:val="clear"/>
            <w:vAlign w:val="center"/>
          </w:tcPr>
          <w:p>
            <w:r>
              <w:rPr>
                <w:b/>
                <w:bCs/>
                <w:color w:val="FFFFFF"/>
              </w:rPr>
              <w:t xml:space="preserve">Mandate</w:t>
            </w:r>
          </w:p>
        </w:tc>
      </w:tr>
      <w:tr>
        <w:tc>
          <w:tcPr>
            <w:tcW w:type="dxa" w:w="3000"/>
            <w:vAlign w:val="center"/>
          </w:tcPr>
          <w:p>
            <w:r>
              <w:rPr>
                <w:b w:val="false"/>
                <w:bCs w:val="false"/>
                <w:color w:val="000000"/>
              </w:rPr>
              <w:t xml:space="preserve">1. Teaching Martial Arts (Training)</w:t>
            </w:r>
          </w:p>
        </w:tc>
        <w:tc>
          <w:tcPr>
            <w:tcW w:type="dxa" w:w="1600"/>
            <w:vAlign w:val="center"/>
          </w:tcPr>
          <w:p>
            <w:r>
              <w:rPr>
                <w:b w:val="false"/>
                <w:bCs w:val="false"/>
                <w:color w:val="000000"/>
              </w:rPr>
              <w:t xml:space="preserve">Abdullah</w:t>
            </w:r>
          </w:p>
        </w:tc>
        <w:tc>
          <w:tcPr>
            <w:tcW w:type="dxa" w:w="4900"/>
            <w:vAlign w:val="center"/>
          </w:tcPr>
          <w:p>
            <w:r>
              <w:rPr>
                <w:b w:val="false"/>
                <w:bCs w:val="false"/>
                <w:color w:val="000000"/>
              </w:rPr>
              <w:t xml:space="preserve">Training programs and instructor development. Carlos leads grappling; Ahmed leads striking. All Elite instructors report to Abdullah.</w:t>
            </w:r>
          </w:p>
        </w:tc>
      </w:tr>
      <w:tr>
        <w:tc>
          <w:tcPr>
            <w:tcW w:type="dxa" w:w="3000"/>
            <w:vAlign w:val="center"/>
          </w:tcPr>
          <w:p>
            <w:r>
              <w:rPr>
                <w:b w:val="false"/>
                <w:bCs w:val="false"/>
                <w:color w:val="000000"/>
              </w:rPr>
              <w:t xml:space="preserve">2. Operations (COO)</w:t>
            </w:r>
          </w:p>
        </w:tc>
        <w:tc>
          <w:tcPr>
            <w:tcW w:type="dxa" w:w="1600"/>
            <w:vAlign w:val="center"/>
          </w:tcPr>
          <w:p>
            <w:r>
              <w:rPr>
                <w:b w:val="false"/>
                <w:bCs w:val="false"/>
                <w:color w:val="000000"/>
              </w:rPr>
              <w:t xml:space="preserve">Nasser</w:t>
            </w:r>
          </w:p>
        </w:tc>
        <w:tc>
          <w:tcPr>
            <w:tcW w:type="dxa" w:w="4900"/>
            <w:vAlign w:val="center"/>
          </w:tcPr>
          <w:p>
            <w:r>
              <w:rPr>
                <w:b w:val="false"/>
                <w:bCs w:val="false"/>
                <w:color w:val="000000"/>
              </w:rPr>
              <w:t xml:space="preserve">Delivers on the academy's promises: leads, sales, conversion, registration, retention, and inventory across both branches.</w:t>
            </w:r>
          </w:p>
        </w:tc>
      </w:tr>
      <w:tr>
        <w:tc>
          <w:tcPr>
            <w:tcW w:type="dxa" w:w="3000"/>
            <w:vAlign w:val="center"/>
          </w:tcPr>
          <w:p>
            <w:r>
              <w:rPr>
                <w:b w:val="false"/>
                <w:bCs w:val="false"/>
                <w:color w:val="000000"/>
              </w:rPr>
              <w:t xml:space="preserve">3. Public Relations &amp; Marketing</w:t>
            </w:r>
          </w:p>
        </w:tc>
        <w:tc>
          <w:tcPr>
            <w:tcW w:type="dxa" w:w="1600"/>
            <w:vAlign w:val="center"/>
          </w:tcPr>
          <w:p>
            <w:r>
              <w:rPr>
                <w:b w:val="false"/>
                <w:bCs w:val="false"/>
                <w:color w:val="000000"/>
              </w:rPr>
              <w:t xml:space="preserve">Maryam</w:t>
            </w:r>
          </w:p>
        </w:tc>
        <w:tc>
          <w:tcPr>
            <w:tcW w:type="dxa" w:w="4900"/>
            <w:vAlign w:val="center"/>
          </w:tcPr>
          <w:p>
            <w:r>
              <w:rPr>
                <w:b w:val="false"/>
                <w:bCs w:val="false"/>
                <w:color w:val="000000"/>
              </w:rPr>
              <w:t xml:space="preserve">Communicates the academy's value through value-based marketing. Ayaa implements the marketing strategy day to day.</w:t>
            </w:r>
          </w:p>
        </w:tc>
      </w:tr>
      <w:tr>
        <w:tc>
          <w:tcPr>
            <w:tcW w:type="dxa" w:w="3000"/>
            <w:vAlign w:val="center"/>
          </w:tcPr>
          <w:p>
            <w:r>
              <w:rPr>
                <w:b w:val="false"/>
                <w:bCs w:val="false"/>
                <w:color w:val="000000"/>
              </w:rPr>
              <w:t xml:space="preserve">4. Systems &amp; IT (New)</w:t>
            </w:r>
          </w:p>
        </w:tc>
        <w:tc>
          <w:tcPr>
            <w:tcW w:type="dxa" w:w="1600"/>
            <w:vAlign w:val="center"/>
          </w:tcPr>
          <w:p>
            <w:r>
              <w:rPr>
                <w:b w:val="false"/>
                <w:bCs w:val="false"/>
                <w:color w:val="000000"/>
              </w:rPr>
              <w:t xml:space="preserve">Saud</w:t>
            </w:r>
          </w:p>
        </w:tc>
        <w:tc>
          <w:tcPr>
            <w:tcW w:type="dxa" w:w="4900"/>
            <w:vAlign w:val="center"/>
          </w:tcPr>
          <w:p>
            <w:r>
              <w:rPr>
                <w:b w:val="false"/>
                <w:bCs w:val="false"/>
                <w:color w:val="000000"/>
              </w:rPr>
              <w:t xml:space="preserve">Owns Elite Academy's systems and IT infrastructure (Mindbody, SAQR, and related tools). Scope of responsibility to be fully defined — see Section 9.</w:t>
            </w:r>
          </w:p>
        </w:tc>
      </w:tr>
    </w:tbl>
    <w:p>
      <w:pPr>
        <w:spacing w:after="200"/>
      </w:pPr>
    </w:p>
    <w:p>
      <w:pPr>
        <w:pStyle w:val="Heading2"/>
        <w:spacing w:after="120" w:before="240"/>
      </w:pPr>
      <w:r>
        <w:t xml:space="preserve">Branch Structure (under Operations)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500"/>
      </w:tblGrid>
      <w:tr>
        <w:trPr>
          <w:tblHeader/>
        </w:trPr>
        <w:tc>
          <w:tcPr>
            <w:tcW w:type="dxa" w:w="2600"/>
            <w:shd w:fill="1F3864" w:color="auto" w:val="clear"/>
            <w:vAlign w:val="center"/>
          </w:tcPr>
          <w:p>
            <w:r>
              <w:rPr>
                <w:b/>
                <w:bCs/>
                <w:color w:val="FFFFFF"/>
              </w:rPr>
              <w:t xml:space="preserve">Branch</w:t>
            </w:r>
          </w:p>
        </w:tc>
        <w:tc>
          <w:tcPr>
            <w:tcW w:type="dxa" w:w="2400"/>
            <w:shd w:fill="1F3864" w:color="auto" w:val="clear"/>
            <w:vAlign w:val="center"/>
          </w:tcPr>
          <w:p>
            <w:r>
              <w:rPr>
                <w:b/>
                <w:bCs/>
                <w:color w:val="FFFFFF"/>
              </w:rPr>
              <w:t xml:space="preserve">Branch Admin</w:t>
            </w:r>
          </w:p>
        </w:tc>
        <w:tc>
          <w:tcPr>
            <w:tcW w:type="dxa" w:w="4500"/>
            <w:shd w:fill="1F3864" w:color="auto" w:val="clear"/>
            <w:vAlign w:val="center"/>
          </w:tcPr>
          <w:p>
            <w:r>
              <w:rPr>
                <w:b/>
                <w:bCs/>
                <w:color w:val="FFFFFF"/>
              </w:rPr>
              <w:t xml:space="preserve">Responsibilities</w:t>
            </w:r>
          </w:p>
        </w:tc>
      </w:tr>
      <w:tr>
        <w:tc>
          <w:tcPr>
            <w:tcW w:type="dxa" w:w="2600"/>
            <w:vAlign w:val="center"/>
          </w:tcPr>
          <w:p>
            <w:r>
              <w:rPr>
                <w:b w:val="false"/>
                <w:bCs w:val="false"/>
                <w:color w:val="000000"/>
              </w:rPr>
              <w:t xml:space="preserve">Promenade, Hawalli</w:t>
            </w:r>
          </w:p>
        </w:tc>
        <w:tc>
          <w:tcPr>
            <w:tcW w:type="dxa" w:w="2400"/>
            <w:vAlign w:val="center"/>
          </w:tcPr>
          <w:p>
            <w:r>
              <w:rPr>
                <w:b w:val="false"/>
                <w:bCs w:val="false"/>
                <w:color w:val="000000"/>
              </w:rPr>
              <w:t xml:space="preserve">Verna</w:t>
            </w:r>
          </w:p>
        </w:tc>
        <w:tc>
          <w:tcPr>
            <w:tcW w:type="dxa" w:w="4500"/>
            <w:vAlign w:val="center"/>
          </w:tcPr>
          <w:p>
            <w:r>
              <w:rPr>
                <w:b w:val="false"/>
                <w:bCs w:val="false"/>
                <w:color w:val="000000"/>
              </w:rPr>
              <w:t xml:space="preserve">Registrations and correct bookings for both branches.</w:t>
            </w:r>
          </w:p>
        </w:tc>
      </w:tr>
      <w:tr>
        <w:tc>
          <w:tcPr>
            <w:tcW w:type="dxa" w:w="2600"/>
            <w:vAlign w:val="center"/>
          </w:tcPr>
          <w:p>
            <w:r>
              <w:rPr>
                <w:b w:val="false"/>
                <w:bCs w:val="false"/>
                <w:color w:val="000000"/>
              </w:rPr>
              <w:t xml:space="preserve">Bedaya</w:t>
            </w:r>
          </w:p>
        </w:tc>
        <w:tc>
          <w:tcPr>
            <w:tcW w:type="dxa" w:w="2400"/>
            <w:vAlign w:val="center"/>
          </w:tcPr>
          <w:p>
            <w:r>
              <w:rPr>
                <w:b w:val="false"/>
                <w:bCs w:val="false"/>
                <w:color w:val="000000"/>
              </w:rPr>
              <w:t xml:space="preserve">Tareq</w:t>
            </w:r>
          </w:p>
        </w:tc>
        <w:tc>
          <w:tcPr>
            <w:tcW w:type="dxa" w:w="4500"/>
            <w:vAlign w:val="center"/>
          </w:tcPr>
          <w:p>
            <w:r>
              <w:rPr>
                <w:b w:val="false"/>
                <w:bCs w:val="false"/>
                <w:color w:val="000000"/>
              </w:rPr>
              <w:t xml:space="preserve">Welcome and attendance, class photography, inventory and local purchasing for both branches.</w:t>
            </w:r>
          </w:p>
        </w:tc>
      </w:tr>
    </w:tbl>
    <w:p>
      <w:pPr>
        <w:spacing w:after="200"/>
      </w:pPr>
    </w:p>
    <w:p>
      <w:pPr>
        <w:spacing w:after="160"/>
      </w:pPr>
      <w:r>
        <w:rPr>
          <w:b w:val="false"/>
          <w:bCs w:val="false"/>
          <w:i w:val="false"/>
          <w:iCs w:val="false"/>
        </w:rPr>
        <w:t xml:space="preserve">Roaa reports to Nasser in Operations, sitting above Verna and Tareq, and also coaches under Abdullah in Training — a confirmed dual role. See Appendix B for the full organization chart, including this reporting line.</w:t>
      </w:r>
    </w:p>
    <w:p>
      <w:pPr>
        <w:pStyle w:val="Heading1"/>
        <w:spacing w:after="160" w:before="360"/>
      </w:pPr>
      <w:r>
        <w:t xml:space="preserve">3. How We Work Together — Cross-Team Handoffs</w:t>
      </w:r>
    </w:p>
    <w:p>
      <w:pPr>
        <w:spacing w:after="160"/>
      </w:pPr>
      <w:r>
        <w:rPr>
          <w:b w:val="false"/>
          <w:bCs w:val="false"/>
          <w:i/>
          <w:iCs/>
        </w:rPr>
        <w:t xml:space="preserve">"Different skills. Same purpose. Stronger together."</w:t>
      </w:r>
    </w:p>
    <w:p>
      <w:pPr>
        <w:spacing w:after="160"/>
      </w:pPr>
      <w:r>
        <w:rPr>
          <w:b w:val="false"/>
          <w:bCs w:val="false"/>
          <w:i w:val="false"/>
          <w:iCs w:val="false"/>
        </w:rPr>
        <w:t xml:space="preserve">Marketing, Training, and Operations all orbit one center: Our Members — one Elite experience, built on trust, communication, support, growth, and belonging.</w:t>
      </w:r>
    </w:p>
    <w:p>
      <w:pPr>
        <w:pStyle w:val="Heading2"/>
        <w:spacing w:after="120" w:before="240"/>
      </w:pPr>
      <w:r>
        <w:t xml:space="preserve">Handoffs Between Teams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vAlign w:val="center"/>
          </w:tcPr>
          <w:p>
            <w:r>
              <w:rPr>
                <w:b/>
                <w:bCs/>
                <w:color w:val="FFFFFF"/>
              </w:rPr>
              <w:t xml:space="preserve">From → To</w:t>
            </w:r>
          </w:p>
        </w:tc>
        <w:tc>
          <w:tcPr>
            <w:tcW w:type="dxa" w:w="6300"/>
            <w:shd w:fill="1F3864" w:color="auto" w:val="clear"/>
            <w:vAlign w:val="center"/>
          </w:tcPr>
          <w:p>
            <w:r>
              <w:rPr>
                <w:b/>
                <w:bCs/>
                <w:color w:val="FFFFFF"/>
              </w:rPr>
              <w:t xml:space="preserve">What Moves</w:t>
            </w:r>
          </w:p>
        </w:tc>
      </w:tr>
      <w:tr>
        <w:tc>
          <w:tcPr>
            <w:tcW w:type="dxa" w:w="3200"/>
            <w:vAlign w:val="center"/>
          </w:tcPr>
          <w:p>
            <w:r>
              <w:rPr>
                <w:b w:val="false"/>
                <w:bCs w:val="false"/>
                <w:color w:val="000000"/>
              </w:rPr>
              <w:t xml:space="preserve">Training → Marketing</w:t>
            </w:r>
          </w:p>
        </w:tc>
        <w:tc>
          <w:tcPr>
            <w:tcW w:type="dxa" w:w="6300"/>
            <w:vAlign w:val="center"/>
          </w:tcPr>
          <w:p>
            <w:r>
              <w:rPr>
                <w:b w:val="false"/>
                <w:bCs w:val="false"/>
                <w:color w:val="000000"/>
              </w:rPr>
              <w:t xml:space="preserve">Program knowledge and real progress stories.</w:t>
            </w:r>
          </w:p>
        </w:tc>
      </w:tr>
      <w:tr>
        <w:tc>
          <w:tcPr>
            <w:tcW w:type="dxa" w:w="3200"/>
            <w:vAlign w:val="center"/>
          </w:tcPr>
          <w:p>
            <w:r>
              <w:rPr>
                <w:b w:val="false"/>
                <w:bCs w:val="false"/>
                <w:color w:val="000000"/>
              </w:rPr>
              <w:t xml:space="preserve">Marketing → Training</w:t>
            </w:r>
          </w:p>
        </w:tc>
        <w:tc>
          <w:tcPr>
            <w:tcW w:type="dxa" w:w="6300"/>
            <w:vAlign w:val="center"/>
          </w:tcPr>
          <w:p>
            <w:r>
              <w:rPr>
                <w:b w:val="false"/>
                <w:bCs w:val="false"/>
                <w:color w:val="000000"/>
              </w:rPr>
              <w:t xml:space="preserve">Align the marketing message with what is actually taught.</w:t>
            </w:r>
          </w:p>
        </w:tc>
      </w:tr>
      <w:tr>
        <w:tc>
          <w:tcPr>
            <w:tcW w:type="dxa" w:w="3200"/>
            <w:vAlign w:val="center"/>
          </w:tcPr>
          <w:p>
            <w:r>
              <w:rPr>
                <w:b w:val="false"/>
                <w:bCs w:val="false"/>
                <w:color w:val="000000"/>
              </w:rPr>
              <w:t xml:space="preserve">Marketing → Operations</w:t>
            </w:r>
          </w:p>
        </w:tc>
        <w:tc>
          <w:tcPr>
            <w:tcW w:type="dxa" w:w="6300"/>
            <w:vAlign w:val="center"/>
          </w:tcPr>
          <w:p>
            <w:r>
              <w:rPr>
                <w:b w:val="false"/>
                <w:bCs w:val="false"/>
                <w:color w:val="000000"/>
              </w:rPr>
              <w:t xml:space="preserve">Campaigns → leads.</w:t>
            </w:r>
          </w:p>
        </w:tc>
      </w:tr>
      <w:tr>
        <w:tc>
          <w:tcPr>
            <w:tcW w:type="dxa" w:w="3200"/>
            <w:vAlign w:val="center"/>
          </w:tcPr>
          <w:p>
            <w:r>
              <w:rPr>
                <w:b w:val="false"/>
                <w:bCs w:val="false"/>
                <w:color w:val="000000"/>
              </w:rPr>
              <w:t xml:space="preserve">Operations → Marketing</w:t>
            </w:r>
          </w:p>
        </w:tc>
        <w:tc>
          <w:tcPr>
            <w:tcW w:type="dxa" w:w="6300"/>
            <w:vAlign w:val="center"/>
          </w:tcPr>
          <w:p>
            <w:r>
              <w:rPr>
                <w:b w:val="false"/>
                <w:bCs w:val="false"/>
                <w:color w:val="000000"/>
              </w:rPr>
              <w:t xml:space="preserve">Conversion results → better campaigns; Tareq's class photos → Ayaa.</w:t>
            </w:r>
          </w:p>
        </w:tc>
      </w:tr>
      <w:tr>
        <w:tc>
          <w:tcPr>
            <w:tcW w:type="dxa" w:w="3200"/>
            <w:vAlign w:val="center"/>
          </w:tcPr>
          <w:p>
            <w:r>
              <w:rPr>
                <w:b w:val="false"/>
                <w:bCs w:val="false"/>
                <w:color w:val="000000"/>
              </w:rPr>
              <w:t xml:space="preserve">Training → Operations</w:t>
            </w:r>
          </w:p>
        </w:tc>
        <w:tc>
          <w:tcPr>
            <w:tcW w:type="dxa" w:w="6300"/>
            <w:vAlign w:val="center"/>
          </w:tcPr>
          <w:p>
            <w:r>
              <w:rPr>
                <w:b w:val="false"/>
                <w:bCs w:val="false"/>
                <w:color w:val="000000"/>
              </w:rPr>
              <w:t xml:space="preserve">Attendance, progress, and concerns.</w:t>
            </w:r>
          </w:p>
        </w:tc>
      </w:tr>
      <w:tr>
        <w:tc>
          <w:tcPr>
            <w:tcW w:type="dxa" w:w="3200"/>
            <w:vAlign w:val="center"/>
          </w:tcPr>
          <w:p>
            <w:r>
              <w:rPr>
                <w:b w:val="false"/>
                <w:bCs w:val="false"/>
                <w:color w:val="000000"/>
              </w:rPr>
              <w:t xml:space="preserve">Operations → Training</w:t>
            </w:r>
          </w:p>
        </w:tc>
        <w:tc>
          <w:tcPr>
            <w:tcW w:type="dxa" w:w="6300"/>
            <w:vAlign w:val="center"/>
          </w:tcPr>
          <w:p>
            <w:r>
              <w:rPr>
                <w:b w:val="false"/>
                <w:bCs w:val="false"/>
                <w:color w:val="000000"/>
              </w:rPr>
              <w:t xml:space="preserve">Bookings and member processes.</w:t>
            </w:r>
          </w:p>
        </w:tc>
      </w:tr>
    </w:tbl>
    <w:p>
      <w:pPr>
        <w:spacing w:after="200"/>
      </w:pPr>
    </w:p>
    <w:p>
      <w:pPr>
        <w:spacing w:after="160"/>
      </w:pPr>
      <w:r>
        <w:rPr>
          <w:b/>
          <w:bCs/>
          <w:i w:val="false"/>
          <w:iCs w:val="false"/>
        </w:rPr>
        <w:t xml:space="preserve">Shared Rule: the next person accepts the handoff before we let go.</w:t>
      </w:r>
    </w:p>
    <w:p>
      <w:pPr>
        <w:pStyle w:val="ListParagraph"/>
        <w:numPr>
          <w:ilvl w:val="0"/>
          <w:numId w:val="2"/>
        </w:numPr>
        <w:spacing w:after="80"/>
      </w:pPr>
      <w:r>
        <w:t xml:space="preserve">(New) Unify how we look — Marketing keeps a consistent visual identity (branding, tone, imagery) across every channel and location.</w:t>
      </w:r>
    </w:p>
    <w:p>
      <w:pPr>
        <w:pStyle w:val="Heading2"/>
        <w:spacing w:after="120" w:before="240"/>
      </w:pPr>
      <w:r>
        <w:t xml:space="preserve">Reporting Upward to Dakhil</w:t>
      </w:r>
    </w:p>
    <w:p>
      <w:pPr>
        <w:pStyle w:val="ListParagraph"/>
        <w:numPr>
          <w:ilvl w:val="0"/>
          <w:numId w:val="2"/>
        </w:numPr>
        <w:spacing w:after="80"/>
      </w:pPr>
      <w:r>
        <w:t xml:space="preserve">Operations (Nasser) → Dakhil: monthly summary of leads, conversion, and retention.</w:t>
      </w:r>
    </w:p>
    <w:p>
      <w:pPr>
        <w:pStyle w:val="ListParagraph"/>
        <w:numPr>
          <w:ilvl w:val="0"/>
          <w:numId w:val="2"/>
        </w:numPr>
        <w:spacing w:after="80"/>
      </w:pPr>
      <w:r>
        <w:t xml:space="preserve">Training (Abdullah) → Dakhil: monthly summary of attendance trends and any unresolved concerns.</w:t>
      </w:r>
    </w:p>
    <w:p>
      <w:pPr>
        <w:pStyle w:val="ListParagraph"/>
        <w:numPr>
          <w:ilvl w:val="0"/>
          <w:numId w:val="2"/>
        </w:numPr>
        <w:spacing w:after="80"/>
      </w:pPr>
      <w:r>
        <w:t xml:space="preserve">Marketing (Maryam) → Dakhil: monthly summary of campaign results and community growth.</w:t>
      </w:r>
    </w:p>
    <w:p>
      <w:pPr>
        <w:pStyle w:val="ListParagraph"/>
        <w:numPr>
          <w:ilvl w:val="0"/>
          <w:numId w:val="2"/>
        </w:numPr>
        <w:spacing w:after="80"/>
      </w:pPr>
      <w:r>
        <w:t xml:space="preserve">Systems &amp; IT (Saud) → Dakhil: cadence to be confirmed once the function's scope is defined (tracked in the Communication Procedure Open Items document).</w:t>
      </w:r>
    </w:p>
    <w:p>
      <w:pPr>
        <w:spacing w:after="160"/>
      </w:pPr>
      <w:r>
        <w:rPr>
          <w:b w:val="false"/>
          <w:bCs w:val="false"/>
          <w:i w:val="false"/>
          <w:iCs w:val="false"/>
        </w:rPr>
        <w:t xml:space="preserve">Between monthly reports, any lead can reach Dakhil by email with updates, issues, or urgent matters, and by phone if a message isn't being answered or acted on. Full detail on channels and confirmation steps, at every level, lives in the Communication Procedure (EA-COMM-PROC-01).</w:t>
      </w:r>
    </w:p>
    <w:p>
      <w:pPr>
        <w:pStyle w:val="Heading2"/>
        <w:spacing w:after="120" w:before="240"/>
      </w:pPr>
      <w:r>
        <w:t xml:space="preserve">Group Sales Handoff</w:t>
      </w:r>
    </w:p>
    <w:p>
      <w:pPr>
        <w:spacing w:after="160"/>
      </w:pPr>
      <w:r>
        <w:rPr>
          <w:b w:val="false"/>
          <w:bCs w:val="false"/>
          <w:i w:val="false"/>
          <w:iCs w:val="false"/>
        </w:rPr>
        <w:t xml:space="preserve">The sales process ends with Marketing (Maryam/Ayaa) securing a paid group registration, then handing delivery to Operations and Training.</w:t>
      </w:r>
    </w:p>
    <w:p>
      <w:pPr>
        <w:pBdr>
          <w:left w:val="single" w:color="B7791F" w:sz="12" w:space="8"/>
        </w:pBdr>
        <w:spacing w:after="160"/>
        <w:ind w:left="200"/>
      </w:pPr>
      <w:r>
        <w:rPr>
          <w:i/>
          <w:iCs/>
          <w:color w:val="555555"/>
        </w:rPr>
        <w:t xml:space="preserve">TO CONFIRM — recommend naming a single receiving owner for group-sales handoffs (e.g., Nasser or Roaa) who confirms receipt of the signed agreement before Training is scheduled to deliver.</w:t>
      </w:r>
    </w:p>
    <w:p>
      <w:pPr>
        <w:pStyle w:val="Heading1"/>
        <w:spacing w:after="160" w:before="360"/>
      </w:pPr>
      <w:r>
        <w:t xml:space="preserve">4. What We Expect From Everyone — Daily Standards</w:t>
      </w:r>
    </w:p>
    <w:p>
      <w:pPr>
        <w:spacing w:after="160"/>
      </w:pPr>
      <w:r>
        <w:rPr>
          <w:b w:val="false"/>
          <w:bCs w:val="false"/>
          <w:i w:val="false"/>
          <w:iCs w:val="false"/>
        </w:rPr>
        <w:t xml:space="preserve">Our values, in daily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3864" w:color="auto" w:val="clear"/>
            <w:vAlign w:val="center"/>
          </w:tcPr>
          <w:p>
            <w:r>
              <w:rPr>
                <w:b/>
                <w:bCs/>
                <w:color w:val="FFFFFF"/>
              </w:rPr>
              <w:t xml:space="preserve">Expectation</w:t>
            </w:r>
          </w:p>
        </w:tc>
        <w:tc>
          <w:tcPr>
            <w:tcW w:type="dxa" w:w="6800"/>
            <w:shd w:fill="1F3864" w:color="auto" w:val="clear"/>
            <w:vAlign w:val="center"/>
          </w:tcPr>
          <w:p>
            <w:r>
              <w:rPr>
                <w:b/>
                <w:bCs/>
                <w:color w:val="FFFFFF"/>
              </w:rPr>
              <w:t xml:space="preserve">In Practice</w:t>
            </w:r>
          </w:p>
        </w:tc>
      </w:tr>
      <w:tr>
        <w:tc>
          <w:tcPr>
            <w:tcW w:type="dxa" w:w="2700"/>
            <w:vAlign w:val="center"/>
          </w:tcPr>
          <w:p>
            <w:r>
              <w:rPr>
                <w:b w:val="false"/>
                <w:bCs w:val="false"/>
                <w:color w:val="000000"/>
              </w:rPr>
              <w:t xml:space="preserve">Stop Unsafe Activity</w:t>
            </w:r>
          </w:p>
        </w:tc>
        <w:tc>
          <w:tcPr>
            <w:tcW w:type="dxa" w:w="6800"/>
            <w:vAlign w:val="center"/>
          </w:tcPr>
          <w:p>
            <w:r>
              <w:rPr>
                <w:b w:val="false"/>
                <w:bCs w:val="false"/>
                <w:color w:val="000000"/>
              </w:rPr>
              <w:t xml:space="preserve">Safety comes before sales, speed, or performance.</w:t>
            </w:r>
          </w:p>
        </w:tc>
      </w:tr>
      <w:tr>
        <w:tc>
          <w:tcPr>
            <w:tcW w:type="dxa" w:w="2700"/>
            <w:vAlign w:val="center"/>
          </w:tcPr>
          <w:p>
            <w:r>
              <w:rPr>
                <w:b w:val="false"/>
                <w:bCs w:val="false"/>
                <w:color w:val="000000"/>
              </w:rPr>
              <w:t xml:space="preserve">Arrive Prepared</w:t>
            </w:r>
          </w:p>
        </w:tc>
        <w:tc>
          <w:tcPr>
            <w:tcW w:type="dxa" w:w="6800"/>
            <w:vAlign w:val="center"/>
          </w:tcPr>
          <w:p>
            <w:r>
              <w:rPr>
                <w:b w:val="false"/>
                <w:bCs w:val="false"/>
                <w:color w:val="000000"/>
              </w:rPr>
              <w:t xml:space="preserve">Be on time, ready, and consistent (uniform, notes, positive attitude).</w:t>
            </w:r>
          </w:p>
        </w:tc>
      </w:tr>
      <w:tr>
        <w:tc>
          <w:tcPr>
            <w:tcW w:type="dxa" w:w="2700"/>
            <w:vAlign w:val="center"/>
          </w:tcPr>
          <w:p>
            <w:r>
              <w:rPr>
                <w:b w:val="false"/>
                <w:bCs w:val="false"/>
                <w:color w:val="000000"/>
              </w:rPr>
              <w:t xml:space="preserve">Practise What You Teach</w:t>
            </w:r>
          </w:p>
        </w:tc>
        <w:tc>
          <w:tcPr>
            <w:tcW w:type="dxa" w:w="6800"/>
            <w:vAlign w:val="center"/>
          </w:tcPr>
          <w:p>
            <w:r>
              <w:rPr>
                <w:b w:val="false"/>
                <w:bCs w:val="false"/>
                <w:color w:val="000000"/>
              </w:rPr>
              <w:t xml:space="preserve">Model the discipline and respect you expect.</w:t>
            </w:r>
          </w:p>
        </w:tc>
      </w:tr>
      <w:tr>
        <w:tc>
          <w:tcPr>
            <w:tcW w:type="dxa" w:w="2700"/>
            <w:vAlign w:val="center"/>
          </w:tcPr>
          <w:p>
            <w:r>
              <w:rPr>
                <w:b w:val="false"/>
                <w:bCs w:val="false"/>
                <w:color w:val="000000"/>
              </w:rPr>
              <w:t xml:space="preserve">Follow Agreed Processes</w:t>
            </w:r>
          </w:p>
        </w:tc>
        <w:tc>
          <w:tcPr>
            <w:tcW w:type="dxa" w:w="6800"/>
            <w:vAlign w:val="center"/>
          </w:tcPr>
          <w:p>
            <w:r>
              <w:rPr>
                <w:b w:val="false"/>
                <w:bCs w:val="false"/>
                <w:color w:val="000000"/>
              </w:rPr>
              <w:t xml:space="preserve">Use the right bookings, attendance, and member handoffs.</w:t>
            </w:r>
          </w:p>
        </w:tc>
      </w:tr>
      <w:tr>
        <w:tc>
          <w:tcPr>
            <w:tcW w:type="dxa" w:w="2700"/>
            <w:vAlign w:val="center"/>
          </w:tcPr>
          <w:p>
            <w:r>
              <w:rPr>
                <w:b w:val="false"/>
                <w:bCs w:val="false"/>
                <w:color w:val="000000"/>
              </w:rPr>
              <w:t xml:space="preserve">Own Mistakes</w:t>
            </w:r>
          </w:p>
        </w:tc>
        <w:tc>
          <w:tcPr>
            <w:tcW w:type="dxa" w:w="6800"/>
            <w:vAlign w:val="center"/>
          </w:tcPr>
          <w:p>
            <w:r>
              <w:rPr>
                <w:b w:val="false"/>
                <w:bCs w:val="false"/>
                <w:color w:val="000000"/>
              </w:rPr>
              <w:t xml:space="preserve">Speak up, help put things right, and follow through.</w:t>
            </w:r>
          </w:p>
        </w:tc>
      </w:tr>
      <w:tr>
        <w:tc>
          <w:tcPr>
            <w:tcW w:type="dxa" w:w="2700"/>
            <w:vAlign w:val="center"/>
          </w:tcPr>
          <w:p>
            <w:r>
              <w:rPr>
                <w:b w:val="false"/>
                <w:bCs w:val="false"/>
                <w:color w:val="000000"/>
              </w:rPr>
              <w:t xml:space="preserve">Close the Loop</w:t>
            </w:r>
          </w:p>
        </w:tc>
        <w:tc>
          <w:tcPr>
            <w:tcW w:type="dxa" w:w="6800"/>
            <w:vAlign w:val="center"/>
          </w:tcPr>
          <w:p>
            <w:r>
              <w:rPr>
                <w:b w:val="false"/>
                <w:bCs w:val="false"/>
                <w:color w:val="000000"/>
              </w:rPr>
              <w:t xml:space="preserve">Every lead, request, and concern needs an owner.</w:t>
            </w:r>
          </w:p>
        </w:tc>
      </w:tr>
      <w:tr>
        <w:tc>
          <w:tcPr>
            <w:tcW w:type="dxa" w:w="2700"/>
            <w:vAlign w:val="center"/>
          </w:tcPr>
          <w:p>
            <w:r>
              <w:rPr>
                <w:b w:val="false"/>
                <w:bCs w:val="false"/>
                <w:color w:val="000000"/>
              </w:rPr>
              <w:t xml:space="preserve">Be Firm, Fair &amp; Respectful</w:t>
            </w:r>
          </w:p>
        </w:tc>
        <w:tc>
          <w:tcPr>
            <w:tcW w:type="dxa" w:w="6800"/>
            <w:vAlign w:val="center"/>
          </w:tcPr>
          <w:p>
            <w:r>
              <w:rPr>
                <w:b w:val="false"/>
                <w:bCs w:val="false"/>
                <w:color w:val="000000"/>
              </w:rPr>
              <w:t xml:space="preserve">Challenge with care. Never humiliate or intimidate.</w:t>
            </w:r>
          </w:p>
        </w:tc>
      </w:tr>
      <w:tr>
        <w:tc>
          <w:tcPr>
            <w:tcW w:type="dxa" w:w="2700"/>
            <w:vAlign w:val="center"/>
          </w:tcPr>
          <w:p>
            <w:r>
              <w:rPr>
                <w:b w:val="false"/>
                <w:bCs w:val="false"/>
                <w:color w:val="000000"/>
              </w:rPr>
              <w:t xml:space="preserve">Protect the Group</w:t>
            </w:r>
          </w:p>
        </w:tc>
        <w:tc>
          <w:tcPr>
            <w:tcW w:type="dxa" w:w="6800"/>
            <w:vAlign w:val="center"/>
          </w:tcPr>
          <w:p>
            <w:r>
              <w:rPr>
                <w:b w:val="false"/>
                <w:bCs w:val="false"/>
                <w:color w:val="000000"/>
              </w:rPr>
              <w:t xml:space="preserve">Address harmful behaviour early. Support both sides.</w:t>
            </w:r>
          </w:p>
        </w:tc>
      </w:tr>
    </w:tbl>
    <w:p>
      <w:pPr>
        <w:spacing w:after="200"/>
      </w:pPr>
    </w:p>
    <w:p>
      <w:pPr>
        <w:spacing w:after="160"/>
      </w:pPr>
      <w:r>
        <w:rPr>
          <w:b w:val="false"/>
          <w:bCs w:val="false"/>
          <w:i/>
          <w:iCs/>
        </w:rPr>
        <w:t xml:space="preserve">Before you take the next step, ask: Is it safe? Is it respectful? Does it serve the group? Who owns the next step?</w:t>
      </w:r>
    </w:p>
    <w:p>
      <w:pPr>
        <w:pStyle w:val="Heading1"/>
        <w:spacing w:after="160" w:before="360"/>
      </w:pPr>
      <w:r>
        <w:t xml:space="preserve">5. Membership &amp; Sales Process</w:t>
      </w:r>
    </w:p>
    <w:p>
      <w:pPr>
        <w:pStyle w:val="Heading2"/>
        <w:spacing w:after="120" w:before="240"/>
      </w:pPr>
      <w:r>
        <w:t xml:space="preserve">5.1 Every Lead Starts in SAQR</w:t>
      </w:r>
    </w:p>
    <w:p>
      <w:pPr>
        <w:spacing w:after="160"/>
      </w:pPr>
      <w:r>
        <w:rPr>
          <w:b w:val="false"/>
          <w:bCs w:val="false"/>
          <w:i w:val="false"/>
          <w:iCs w:val="false"/>
        </w:rPr>
        <w:t xml:space="preserve">Recorded fields: name and contact, source, branch/interest, one named owner, stage, and next action.</w:t>
      </w:r>
    </w:p>
    <w:p>
      <w:pPr>
        <w:pStyle w:val="Heading2"/>
        <w:spacing w:after="120" w:before="240"/>
      </w:pPr>
      <w:r>
        <w:t xml:space="preserve">5.2 Individual Membership Journey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3864" w:color="auto" w:val="clear"/>
            <w:vAlign w:val="center"/>
          </w:tcPr>
          <w:p>
            <w:r>
              <w:rPr>
                <w:b/>
                <w:bCs/>
                <w:color w:val="FFFFFF"/>
              </w:rPr>
              <w:t xml:space="preserve">Stage</w:t>
            </w:r>
          </w:p>
        </w:tc>
        <w:tc>
          <w:tcPr>
            <w:tcW w:type="dxa" w:w="3300"/>
            <w:shd w:fill="1F3864" w:color="auto" w:val="clear"/>
            <w:vAlign w:val="center"/>
          </w:tcPr>
          <w:p>
            <w:r>
              <w:rPr>
                <w:b/>
                <w:bCs/>
                <w:color w:val="FFFFFF"/>
              </w:rPr>
              <w:t xml:space="preserve">Team Pool</w:t>
            </w:r>
          </w:p>
        </w:tc>
        <w:tc>
          <w:tcPr>
            <w:tcW w:type="dxa" w:w="3600"/>
            <w:shd w:fill="1F3864" w:color="auto" w:val="clear"/>
            <w:vAlign w:val="center"/>
          </w:tcPr>
          <w:p>
            <w:r>
              <w:rPr>
                <w:b/>
                <w:bCs/>
                <w:color w:val="FFFFFF"/>
              </w:rPr>
              <w:t xml:space="preserve">Action</w:t>
            </w:r>
          </w:p>
        </w:tc>
      </w:tr>
      <w:tr>
        <w:tc>
          <w:tcPr>
            <w:tcW w:type="dxa" w:w="2600"/>
            <w:vAlign w:val="center"/>
          </w:tcPr>
          <w:p>
            <w:r>
              <w:rPr>
                <w:b w:val="false"/>
                <w:bCs w:val="false"/>
                <w:color w:val="000000"/>
              </w:rPr>
              <w:t xml:space="preserve">1. Inquiry</w:t>
            </w:r>
          </w:p>
        </w:tc>
        <w:tc>
          <w:tcPr>
            <w:tcW w:type="dxa" w:w="3300"/>
            <w:vAlign w:val="center"/>
          </w:tcPr>
          <w:p>
            <w:r>
              <w:rPr>
                <w:b w:val="false"/>
                <w:bCs w:val="false"/>
                <w:color w:val="000000"/>
              </w:rPr>
              <w:t xml:space="preserve">Walk-in: Roaa / Verna / Tareq. Digital: AI → Roaa.</w:t>
            </w:r>
          </w:p>
        </w:tc>
        <w:tc>
          <w:tcPr>
            <w:tcW w:type="dxa" w:w="3600"/>
            <w:vAlign w:val="center"/>
          </w:tcPr>
          <w:p>
            <w:r>
              <w:rPr>
                <w:b w:val="false"/>
                <w:bCs w:val="false"/>
                <w:color w:val="000000"/>
              </w:rPr>
              <w:t xml:space="preserve">Log the inquiry in SAQR.</w:t>
            </w:r>
          </w:p>
        </w:tc>
      </w:tr>
      <w:tr>
        <w:tc>
          <w:tcPr>
            <w:tcW w:type="dxa" w:w="2600"/>
            <w:vAlign w:val="center"/>
          </w:tcPr>
          <w:p>
            <w:r>
              <w:rPr>
                <w:b w:val="false"/>
                <w:bCs w:val="false"/>
                <w:color w:val="000000"/>
              </w:rPr>
              <w:t xml:space="preserve">2. Contacted + Trial Booked</w:t>
            </w:r>
          </w:p>
        </w:tc>
        <w:tc>
          <w:tcPr>
            <w:tcW w:type="dxa" w:w="3300"/>
            <w:vAlign w:val="center"/>
          </w:tcPr>
          <w:p>
            <w:r>
              <w:rPr>
                <w:b w:val="false"/>
                <w:bCs w:val="false"/>
                <w:color w:val="000000"/>
              </w:rPr>
              <w:t xml:space="preserve">Roaa / Verna / Tareq</w:t>
            </w:r>
          </w:p>
        </w:tc>
        <w:tc>
          <w:tcPr>
            <w:tcW w:type="dxa" w:w="3600"/>
            <w:vAlign w:val="center"/>
          </w:tcPr>
          <w:p>
            <w:r>
              <w:rPr>
                <w:b w:val="false"/>
                <w:bCs w:val="false"/>
                <w:color w:val="000000"/>
              </w:rPr>
              <w:t xml:space="preserve">Follow up, book, brief the instructor.</w:t>
            </w:r>
          </w:p>
        </w:tc>
      </w:tr>
      <w:tr>
        <w:tc>
          <w:tcPr>
            <w:tcW w:type="dxa" w:w="2600"/>
            <w:vAlign w:val="center"/>
          </w:tcPr>
          <w:p>
            <w:r>
              <w:rPr>
                <w:b w:val="false"/>
                <w:bCs w:val="false"/>
                <w:color w:val="000000"/>
              </w:rPr>
              <w:t xml:space="preserve">3. Trial Delivery</w:t>
            </w:r>
          </w:p>
        </w:tc>
        <w:tc>
          <w:tcPr>
            <w:tcW w:type="dxa" w:w="3300"/>
            <w:vAlign w:val="center"/>
          </w:tcPr>
          <w:p>
            <w:r>
              <w:rPr>
                <w:b w:val="false"/>
                <w:bCs w:val="false"/>
                <w:color w:val="000000"/>
              </w:rPr>
              <w:t xml:space="preserve">Class instructor / Abdullah</w:t>
            </w:r>
          </w:p>
        </w:tc>
        <w:tc>
          <w:tcPr>
            <w:tcW w:type="dxa" w:w="3600"/>
            <w:vAlign w:val="center"/>
          </w:tcPr>
          <w:p>
            <w:r>
              <w:rPr>
                <w:b w:val="false"/>
                <w:bCs w:val="false"/>
                <w:color w:val="000000"/>
              </w:rPr>
              <w:t xml:space="preserve">Deliver safe, welcoming training and feedback.</w:t>
            </w:r>
          </w:p>
        </w:tc>
      </w:tr>
      <w:tr>
        <w:tc>
          <w:tcPr>
            <w:tcW w:type="dxa" w:w="2600"/>
            <w:vAlign w:val="center"/>
          </w:tcPr>
          <w:p>
            <w:r>
              <w:rPr>
                <w:b w:val="false"/>
                <w:bCs w:val="false"/>
                <w:color w:val="000000"/>
              </w:rPr>
              <w:t xml:space="preserve">4. Paid Membership</w:t>
            </w:r>
          </w:p>
        </w:tc>
        <w:tc>
          <w:tcPr>
            <w:tcW w:type="dxa" w:w="3300"/>
            <w:vAlign w:val="center"/>
          </w:tcPr>
          <w:p>
            <w:r>
              <w:rPr>
                <w:b w:val="false"/>
                <w:bCs w:val="false"/>
                <w:color w:val="000000"/>
              </w:rPr>
              <w:t xml:space="preserve">Verna / Tareq / Roaa</w:t>
            </w:r>
          </w:p>
        </w:tc>
        <w:tc>
          <w:tcPr>
            <w:tcW w:type="dxa" w:w="3600"/>
            <w:vAlign w:val="center"/>
          </w:tcPr>
          <w:p>
            <w:r>
              <w:rPr>
                <w:b w:val="false"/>
                <w:bCs w:val="false"/>
                <w:color w:val="000000"/>
              </w:rPr>
              <w:t xml:space="preserve">Close sale, process payment and registration.</w:t>
            </w:r>
          </w:p>
        </w:tc>
      </w:tr>
      <w:tr>
        <w:tc>
          <w:tcPr>
            <w:tcW w:type="dxa" w:w="2600"/>
            <w:vAlign w:val="center"/>
          </w:tcPr>
          <w:p>
            <w:r>
              <w:rPr>
                <w:b w:val="false"/>
                <w:bCs w:val="false"/>
                <w:color w:val="000000"/>
              </w:rPr>
              <w:t xml:space="preserve">5. Renewal</w:t>
            </w:r>
          </w:p>
        </w:tc>
        <w:tc>
          <w:tcPr>
            <w:tcW w:type="dxa" w:w="3300"/>
            <w:vAlign w:val="center"/>
          </w:tcPr>
          <w:p>
            <w:r>
              <w:rPr>
                <w:b w:val="false"/>
                <w:bCs w:val="false"/>
                <w:color w:val="000000"/>
              </w:rPr>
              <w:t xml:space="preserve">Training + Front office</w:t>
            </w:r>
          </w:p>
        </w:tc>
        <w:tc>
          <w:tcPr>
            <w:tcW w:type="dxa" w:w="3600"/>
            <w:vAlign w:val="center"/>
          </w:tcPr>
          <w:p>
            <w:r>
              <w:rPr>
                <w:b w:val="false"/>
                <w:bCs w:val="false"/>
                <w:color w:val="000000"/>
              </w:rPr>
              <w:t xml:space="preserve">Earned through training, completed through follow-up.</w:t>
            </w:r>
          </w:p>
        </w:tc>
      </w:tr>
    </w:tbl>
    <w:p>
      <w:pPr>
        <w:spacing w:after="200"/>
      </w:pPr>
    </w:p>
    <w:p>
      <w:pPr>
        <w:pBdr>
          <w:left w:val="single" w:color="B7791F" w:sz="12" w:space="8"/>
        </w:pBdr>
        <w:spacing w:after="160"/>
        <w:ind w:left="200"/>
      </w:pPr>
      <w:r>
        <w:rPr>
          <w:i/>
          <w:iCs/>
          <w:color w:val="555555"/>
        </w:rPr>
        <w:t xml:space="preserve">TO CONFIRM — a tie-breaker rule (e.g. "whoever first contacts the lead becomes its named owner in SAQR") is still needed so each stage has one accountable owner in practice, not a team pool.</w:t>
      </w:r>
    </w:p>
    <w:p>
      <w:pPr>
        <w:pStyle w:val="Heading2"/>
        <w:spacing w:after="120" w:before="240"/>
      </w:pPr>
      <w:r>
        <w:t xml:space="preserve">5.3 Member Evaluation &amp; Tiers (New)</w:t>
      </w:r>
    </w:p>
    <w:p>
      <w:pPr>
        <w:pStyle w:val="ListParagraph"/>
        <w:numPr>
          <w:ilvl w:val="0"/>
          <w:numId w:val="2"/>
        </w:numPr>
        <w:spacing w:after="80"/>
      </w:pPr>
      <w:r>
        <w:t xml:space="preserve">Every member is evaluated on a 4–6 week cadence to track progress against the training program.</w:t>
      </w:r>
    </w:p>
    <w:p>
      <w:pPr>
        <w:pStyle w:val="ListParagraph"/>
        <w:numPr>
          <w:ilvl w:val="0"/>
          <w:numId w:val="2"/>
        </w:numPr>
        <w:spacing w:after="80"/>
      </w:pPr>
      <w:r>
        <w:t xml:space="preserve">Elite Member tier: members who compete regularly and attend daily qualify for a reduced membership rate. Eligibility criteria and the exact rate are to be confirmed.</w:t>
      </w:r>
    </w:p>
    <w:p>
      <w:pPr>
        <w:pStyle w:val="ListParagraph"/>
        <w:numPr>
          <w:ilvl w:val="0"/>
          <w:numId w:val="2"/>
        </w:numPr>
        <w:spacing w:after="80"/>
      </w:pPr>
      <w:r>
        <w:t xml:space="preserve">Freeze fee: members may freeze their membership for a fee. The amount and process (who approves, how it's logged) are to be confirmed.</w:t>
      </w:r>
    </w:p>
    <w:p>
      <w:pPr>
        <w:pStyle w:val="Heading2"/>
        <w:spacing w:after="120" w:before="240"/>
      </w:pPr>
      <w:r>
        <w:t xml:space="preserve">5.4 Group Sales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F3864" w:color="auto" w:val="clear"/>
            <w:vAlign w:val="center"/>
          </w:tcPr>
          <w:p>
            <w:r>
              <w:rPr>
                <w:b/>
                <w:bCs/>
                <w:color w:val="FFFFFF"/>
              </w:rPr>
              <w:t xml:space="preserve">Step</w:t>
            </w:r>
          </w:p>
        </w:tc>
        <w:tc>
          <w:tcPr>
            <w:tcW w:type="dxa" w:w="5700"/>
            <w:shd w:fill="1F3864" w:color="auto" w:val="clear"/>
            <w:vAlign w:val="center"/>
          </w:tcPr>
          <w:p>
            <w:r>
              <w:rPr>
                <w:b/>
                <w:bCs/>
                <w:color w:val="FFFFFF"/>
              </w:rPr>
              <w:t xml:space="preserve">Owner</w:t>
            </w:r>
          </w:p>
        </w:tc>
      </w:tr>
      <w:tr>
        <w:tc>
          <w:tcPr>
            <w:tcW w:type="dxa" w:w="3400"/>
            <w:vAlign w:val="center"/>
          </w:tcPr>
          <w:p>
            <w:r>
              <w:rPr>
                <w:b w:val="false"/>
                <w:bCs w:val="false"/>
                <w:color w:val="000000"/>
              </w:rPr>
              <w:t xml:space="preserve">Contact</w:t>
            </w:r>
          </w:p>
        </w:tc>
        <w:tc>
          <w:tcPr>
            <w:tcW w:type="dxa" w:w="5700"/>
            <w:vAlign w:val="center"/>
          </w:tcPr>
          <w:p>
            <w:r>
              <w:rPr>
                <w:b w:val="false"/>
                <w:bCs w:val="false"/>
                <w:color w:val="000000"/>
              </w:rPr>
              <w:t xml:space="preserve">Maryam / Ayaa</w:t>
            </w:r>
          </w:p>
        </w:tc>
      </w:tr>
      <w:tr>
        <w:tc>
          <w:tcPr>
            <w:tcW w:type="dxa" w:w="3400"/>
            <w:vAlign w:val="center"/>
          </w:tcPr>
          <w:p>
            <w:r>
              <w:rPr>
                <w:b w:val="false"/>
                <w:bCs w:val="false"/>
                <w:color w:val="000000"/>
              </w:rPr>
              <w:t xml:space="preserve">Meeting</w:t>
            </w:r>
          </w:p>
        </w:tc>
        <w:tc>
          <w:tcPr>
            <w:tcW w:type="dxa" w:w="5700"/>
            <w:vAlign w:val="center"/>
          </w:tcPr>
          <w:p>
            <w:r>
              <w:rPr>
                <w:b w:val="false"/>
                <w:bCs w:val="false"/>
                <w:color w:val="000000"/>
              </w:rPr>
              <w:t xml:space="preserve">Maryam / Ayaa</w:t>
            </w:r>
          </w:p>
        </w:tc>
      </w:tr>
      <w:tr>
        <w:tc>
          <w:tcPr>
            <w:tcW w:type="dxa" w:w="3400"/>
            <w:vAlign w:val="center"/>
          </w:tcPr>
          <w:p>
            <w:r>
              <w:rPr>
                <w:b w:val="false"/>
                <w:bCs w:val="false"/>
                <w:color w:val="000000"/>
              </w:rPr>
              <w:t xml:space="preserve">Proposal</w:t>
            </w:r>
          </w:p>
        </w:tc>
        <w:tc>
          <w:tcPr>
            <w:tcW w:type="dxa" w:w="5700"/>
            <w:vAlign w:val="center"/>
          </w:tcPr>
          <w:p>
            <w:r>
              <w:rPr>
                <w:b w:val="false"/>
                <w:bCs w:val="false"/>
                <w:color w:val="000000"/>
              </w:rPr>
              <w:t xml:space="preserve">Maryam / Ayaa</w:t>
            </w:r>
          </w:p>
        </w:tc>
      </w:tr>
      <w:tr>
        <w:tc>
          <w:tcPr>
            <w:tcW w:type="dxa" w:w="3400"/>
            <w:vAlign w:val="center"/>
          </w:tcPr>
          <w:p>
            <w:r>
              <w:rPr>
                <w:b w:val="false"/>
                <w:bCs w:val="false"/>
                <w:color w:val="000000"/>
              </w:rPr>
              <w:t xml:space="preserve">Agreement</w:t>
            </w:r>
          </w:p>
        </w:tc>
        <w:tc>
          <w:tcPr>
            <w:tcW w:type="dxa" w:w="5700"/>
            <w:vAlign w:val="center"/>
          </w:tcPr>
          <w:p>
            <w:r>
              <w:rPr>
                <w:b w:val="false"/>
                <w:bCs w:val="false"/>
                <w:color w:val="000000"/>
              </w:rPr>
              <w:t xml:space="preserve">Maryam / Ayaa</w:t>
            </w:r>
          </w:p>
        </w:tc>
      </w:tr>
      <w:tr>
        <w:tc>
          <w:tcPr>
            <w:tcW w:type="dxa" w:w="3400"/>
            <w:vAlign w:val="center"/>
          </w:tcPr>
          <w:p>
            <w:r>
              <w:rPr>
                <w:b w:val="false"/>
                <w:bCs w:val="false"/>
                <w:color w:val="000000"/>
              </w:rPr>
              <w:t xml:space="preserve">Paid Registrations</w:t>
            </w:r>
          </w:p>
        </w:tc>
        <w:tc>
          <w:tcPr>
            <w:tcW w:type="dxa" w:w="5700"/>
            <w:vAlign w:val="center"/>
          </w:tcPr>
          <w:p>
            <w:r>
              <w:rPr>
                <w:b w:val="false"/>
                <w:bCs w:val="false"/>
                <w:color w:val="000000"/>
              </w:rPr>
              <w:t xml:space="preserve">Maryam / Ayaa</w:t>
            </w:r>
          </w:p>
        </w:tc>
      </w:tr>
      <w:tr>
        <w:tc>
          <w:tcPr>
            <w:tcW w:type="dxa" w:w="3400"/>
            <w:vAlign w:val="center"/>
          </w:tcPr>
          <w:p>
            <w:r>
              <w:rPr>
                <w:b w:val="false"/>
                <w:bCs w:val="false"/>
                <w:color w:val="000000"/>
              </w:rPr>
              <w:t xml:space="preserve">Coordinate Delivery</w:t>
            </w:r>
          </w:p>
        </w:tc>
        <w:tc>
          <w:tcPr>
            <w:tcW w:type="dxa" w:w="5700"/>
            <w:vAlign w:val="center"/>
          </w:tcPr>
          <w:p>
            <w:r>
              <w:rPr>
                <w:b w:val="false"/>
                <w:bCs w:val="false"/>
                <w:color w:val="000000"/>
              </w:rPr>
              <w:t xml:space="preserve">Operations + Training — receiving owner TO CONFIRM</w:t>
            </w:r>
          </w:p>
        </w:tc>
      </w:tr>
    </w:tbl>
    <w:p>
      <w:pPr>
        <w:spacing w:after="200"/>
      </w:pPr>
    </w:p>
    <w:p>
      <w:pPr>
        <w:spacing w:after="160"/>
      </w:pPr>
      <w:r>
        <w:rPr>
          <w:b/>
          <w:bCs/>
          <w:i w:val="false"/>
          <w:iCs w:val="false"/>
        </w:rPr>
        <w:t xml:space="preserve">Renewal is earned through training and completed through follow-up. Every lead: one named owner and a next action.</w:t>
      </w:r>
    </w:p>
    <w:p>
      <w:pPr>
        <w:pStyle w:val="Heading1"/>
        <w:spacing w:after="160" w:before="360"/>
      </w:pPr>
      <w:r>
        <w:t xml:space="preserve">6. Escalation Path for Safety &amp; Conduct Concerns</w:t>
      </w:r>
    </w:p>
    <w:p>
      <w:pPr>
        <w:spacing w:after="160"/>
      </w:pPr>
      <w:r>
        <w:rPr>
          <w:b w:val="false"/>
          <w:bCs w:val="false"/>
          <w:i w:val="false"/>
          <w:iCs w:val="false"/>
        </w:rPr>
        <w:t xml:space="preserve">Routine information (attendance, standard progress notes, booking changes) flows on the cadence in Section 3. Safety or conduct concerns follow a separate, faster path:</w:t>
      </w:r>
    </w:p>
    <w:p>
      <w:pPr>
        <w:pStyle w:val="ListParagraph"/>
        <w:numPr>
          <w:ilvl w:val="0"/>
          <w:numId w:val="2"/>
        </w:numPr>
        <w:spacing w:after="80"/>
      </w:pPr>
      <w:r>
        <w:t xml:space="preserve">Any staff member who observes a safety issue or harmful behaviour raises it the same day to their function lead (Abdullah for training-floor issues, Nasser for front-office/member issues).</w:t>
      </w:r>
    </w:p>
    <w:p>
      <w:pPr>
        <w:pStyle w:val="ListParagraph"/>
        <w:numPr>
          <w:ilvl w:val="0"/>
          <w:numId w:val="2"/>
        </w:numPr>
        <w:spacing w:after="80"/>
      </w:pPr>
      <w:r>
        <w:t xml:space="preserve">The function lead names an owner for the concern immediately and logs it, per the "close the loop" standard.</w:t>
      </w:r>
    </w:p>
    <w:p>
      <w:pPr>
        <w:pStyle w:val="ListParagraph"/>
        <w:numPr>
          <w:ilvl w:val="0"/>
          <w:numId w:val="2"/>
        </w:numPr>
        <w:spacing w:after="80"/>
      </w:pPr>
      <w:r>
        <w:t xml:space="preserve">Any concern involving member safety or a potential removal decision is escalated to Dakhil within 24 hours.</w:t>
      </w:r>
    </w:p>
    <w:p>
      <w:pPr>
        <w:spacing w:after="160"/>
      </w:pPr>
      <w:r>
        <w:rPr>
          <w:b w:val="false"/>
          <w:bCs w:val="false"/>
          <w:i w:val="false"/>
          <w:iCs w:val="false"/>
        </w:rPr>
        <w:t xml:space="preserve">These timings are confirmed. For any other message that stalls because a lead isn't answering or acting on it, staff can call Dakhil directly by phone (Communication Procedure, Section 6.3).</w:t>
      </w:r>
    </w:p>
    <w:p>
      <w:pPr>
        <w:pStyle w:val="Heading1"/>
        <w:spacing w:after="160" w:before="360"/>
      </w:pPr>
      <w:r>
        <w:t xml:space="preserve">7. Member Photo &amp; Video Consent (New)</w:t>
      </w:r>
    </w:p>
    <w:p>
      <w:pPr>
        <w:spacing w:after="160"/>
      </w:pPr>
      <w:r>
        <w:rPr>
          <w:b w:val="false"/>
          <w:bCs w:val="false"/>
          <w:i w:val="false"/>
          <w:iCs w:val="false"/>
        </w:rPr>
        <w:t xml:space="preserve">Per the Management Meeting notes, written parental/guardian consent is required before any member's photo or video is used — including the internal handoff "Tareq's class photos → Ayaa" described in Section 3.</w:t>
      </w:r>
    </w:p>
    <w:p>
      <w:pPr>
        <w:pStyle w:val="ListParagraph"/>
        <w:numPr>
          <w:ilvl w:val="0"/>
          <w:numId w:val="2"/>
        </w:numPr>
        <w:spacing w:after="80"/>
      </w:pPr>
      <w:r>
        <w:t xml:space="preserve">Consent is collected in writing at enrollment using the Media Consent Form (Appendix A).</w:t>
      </w:r>
    </w:p>
    <w:p>
      <w:pPr>
        <w:pStyle w:val="ListParagraph"/>
        <w:numPr>
          <w:ilvl w:val="0"/>
          <w:numId w:val="2"/>
        </w:numPr>
        <w:spacing w:after="80"/>
      </w:pPr>
      <w:r>
        <w:t xml:space="preserve">The Branch Receiver collecting registration (Verna or Tareq, per branch) is responsible for obtaining and filing the signed form alongside the member's registration record.</w:t>
      </w:r>
    </w:p>
    <w:p>
      <w:pPr>
        <w:pStyle w:val="ListParagraph"/>
        <w:numPr>
          <w:ilvl w:val="0"/>
          <w:numId w:val="2"/>
        </w:numPr>
        <w:spacing w:after="80"/>
      </w:pPr>
      <w:r>
        <w:t xml:space="preserve">Ayaa (Marketing) only uses photos or videos of members whose signed consent form is on file and covers the intended use (internal records, social media, or website/marketing materials, as selected on the form).</w:t>
      </w:r>
    </w:p>
    <w:p>
      <w:pPr>
        <w:pStyle w:val="ListParagraph"/>
        <w:numPr>
          <w:ilvl w:val="0"/>
          <w:numId w:val="2"/>
        </w:numPr>
        <w:spacing w:after="80"/>
      </w:pPr>
      <w:r>
        <w:t xml:space="preserve">A member's consent can be withdrawn at any time in writing; once withdrawn, existing posted material involving that member should be reviewed for removal.</w:t>
      </w:r>
    </w:p>
    <w:p>
      <w:pPr>
        <w:pBdr>
          <w:left w:val="single" w:color="B7791F" w:sz="12" w:space="8"/>
        </w:pBdr>
        <w:spacing w:after="160"/>
        <w:ind w:left="200"/>
      </w:pPr>
      <w:r>
        <w:rPr>
          <w:i/>
          <w:iCs/>
          <w:color w:val="555555"/>
        </w:rPr>
        <w:t xml:space="preserve">TO CONFIRM — where signed consent forms are filed/stored (physical file vs. shared drive) and who audits that Marketing only uses consented images, should be assigned as part of finalizing this section.</w:t>
      </w:r>
    </w:p>
    <w:p>
      <w:pPr>
        <w:pStyle w:val="Heading1"/>
        <w:spacing w:after="160" w:before="360"/>
      </w:pPr>
      <w:r>
        <w:t xml:space="preserve">8. Campaign Performance Tracking (New)</w:t>
      </w:r>
    </w:p>
    <w:p>
      <w:pPr>
        <w:spacing w:after="160"/>
      </w:pPr>
      <w:r>
        <w:rPr>
          <w:b w:val="false"/>
          <w:bCs w:val="false"/>
          <w:i w:val="false"/>
          <w:iCs w:val="false"/>
        </w:rPr>
        <w:t xml:space="preserve">Per the Management Meeting notes, a mechanism is needed to measure campaign performance. This extends the existing "Conversion results → better campaigns" handoff (Section 3) into a concrete, trackable process.</w:t>
      </w:r>
    </w:p>
    <w:p>
      <w:pPr>
        <w:pStyle w:val="Heading2"/>
        <w:spacing w:after="120" w:before="240"/>
      </w:pPr>
      <w:r>
        <w:t xml:space="preserve">8.1 Campaign Tracker</w:t>
      </w:r>
    </w:p>
    <w:p>
      <w:pPr>
        <w:spacing w:after="160"/>
      </w:pPr>
      <w:r>
        <w:rPr>
          <w:b w:val="false"/>
          <w:bCs w:val="false"/>
          <w:i w:val="false"/>
          <w:iCs w:val="false"/>
        </w:rPr>
        <w:t xml:space="preserve">Proposed fields, logged by Ayaa for every campaign: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vAlign w:val="center"/>
          </w:tcPr>
          <w:p>
            <w:r>
              <w:rPr>
                <w:b/>
                <w:bCs/>
                <w:color w:val="FFFFFF"/>
              </w:rPr>
              <w:t xml:space="preserve">Field</w:t>
            </w:r>
          </w:p>
        </w:tc>
        <w:tc>
          <w:tcPr>
            <w:tcW w:type="dxa" w:w="6900"/>
            <w:shd w:fill="1F3864" w:color="auto" w:val="clear"/>
            <w:vAlign w:val="center"/>
          </w:tcPr>
          <w:p>
            <w:r>
              <w:rPr>
                <w:b/>
                <w:bCs/>
                <w:color w:val="FFFFFF"/>
              </w:rPr>
              <w:t xml:space="preserve">Description</w:t>
            </w:r>
          </w:p>
        </w:tc>
      </w:tr>
      <w:tr>
        <w:tc>
          <w:tcPr>
            <w:tcW w:type="dxa" w:w="2600"/>
            <w:vAlign w:val="center"/>
          </w:tcPr>
          <w:p>
            <w:r>
              <w:rPr>
                <w:b w:val="false"/>
                <w:bCs w:val="false"/>
                <w:color w:val="000000"/>
              </w:rPr>
              <w:t xml:space="preserve">Campaign Name</w:t>
            </w:r>
          </w:p>
        </w:tc>
        <w:tc>
          <w:tcPr>
            <w:tcW w:type="dxa" w:w="6900"/>
            <w:vAlign w:val="center"/>
          </w:tcPr>
          <w:p>
            <w:r>
              <w:rPr>
                <w:b w:val="false"/>
                <w:bCs w:val="false"/>
                <w:color w:val="000000"/>
              </w:rPr>
              <w:t xml:space="preserve">Short identifying name for the campaign.</w:t>
            </w:r>
          </w:p>
        </w:tc>
      </w:tr>
      <w:tr>
        <w:tc>
          <w:tcPr>
            <w:tcW w:type="dxa" w:w="2600"/>
            <w:vAlign w:val="center"/>
          </w:tcPr>
          <w:p>
            <w:r>
              <w:rPr>
                <w:b w:val="false"/>
                <w:bCs w:val="false"/>
                <w:color w:val="000000"/>
              </w:rPr>
              <w:t xml:space="preserve">Channel</w:t>
            </w:r>
          </w:p>
        </w:tc>
        <w:tc>
          <w:tcPr>
            <w:tcW w:type="dxa" w:w="6900"/>
            <w:vAlign w:val="center"/>
          </w:tcPr>
          <w:p>
            <w:r>
              <w:rPr>
                <w:b w:val="false"/>
                <w:bCs w:val="false"/>
                <w:color w:val="000000"/>
              </w:rPr>
              <w:t xml:space="preserve">Where it ran (Instagram, Google, in-branch, etc.).</w:t>
            </w:r>
          </w:p>
        </w:tc>
      </w:tr>
      <w:tr>
        <w:tc>
          <w:tcPr>
            <w:tcW w:type="dxa" w:w="2600"/>
            <w:vAlign w:val="center"/>
          </w:tcPr>
          <w:p>
            <w:r>
              <w:rPr>
                <w:b w:val="false"/>
                <w:bCs w:val="false"/>
                <w:color w:val="000000"/>
              </w:rPr>
              <w:t xml:space="preserve">Start / End Date</w:t>
            </w:r>
          </w:p>
        </w:tc>
        <w:tc>
          <w:tcPr>
            <w:tcW w:type="dxa" w:w="6900"/>
            <w:vAlign w:val="center"/>
          </w:tcPr>
          <w:p>
            <w:r>
              <w:rPr>
                <w:b w:val="false"/>
                <w:bCs w:val="false"/>
                <w:color w:val="000000"/>
              </w:rPr>
              <w:t xml:space="preserve">Campaign flight dates.</w:t>
            </w:r>
          </w:p>
        </w:tc>
      </w:tr>
      <w:tr>
        <w:tc>
          <w:tcPr>
            <w:tcW w:type="dxa" w:w="2600"/>
            <w:vAlign w:val="center"/>
          </w:tcPr>
          <w:p>
            <w:r>
              <w:rPr>
                <w:b w:val="false"/>
                <w:bCs w:val="false"/>
                <w:color w:val="000000"/>
              </w:rPr>
              <w:t xml:space="preserve">Spend</w:t>
            </w:r>
          </w:p>
        </w:tc>
        <w:tc>
          <w:tcPr>
            <w:tcW w:type="dxa" w:w="6900"/>
            <w:vAlign w:val="center"/>
          </w:tcPr>
          <w:p>
            <w:r>
              <w:rPr>
                <w:b w:val="false"/>
                <w:bCs w:val="false"/>
                <w:color w:val="000000"/>
              </w:rPr>
              <w:t xml:space="preserve">Amount spent on the campaign.</w:t>
            </w:r>
          </w:p>
        </w:tc>
      </w:tr>
      <w:tr>
        <w:tc>
          <w:tcPr>
            <w:tcW w:type="dxa" w:w="2600"/>
            <w:vAlign w:val="center"/>
          </w:tcPr>
          <w:p>
            <w:r>
              <w:rPr>
                <w:b w:val="false"/>
                <w:bCs w:val="false"/>
                <w:color w:val="000000"/>
              </w:rPr>
              <w:t xml:space="preserve">Leads Generated</w:t>
            </w:r>
          </w:p>
        </w:tc>
        <w:tc>
          <w:tcPr>
            <w:tcW w:type="dxa" w:w="6900"/>
            <w:vAlign w:val="center"/>
          </w:tcPr>
          <w:p>
            <w:r>
              <w:rPr>
                <w:b w:val="false"/>
                <w:bCs w:val="false"/>
                <w:color w:val="000000"/>
              </w:rPr>
              <w:t xml:space="preserve">Count of SAQR leads tagged with this campaign as source.</w:t>
            </w:r>
          </w:p>
        </w:tc>
      </w:tr>
      <w:tr>
        <w:tc>
          <w:tcPr>
            <w:tcW w:type="dxa" w:w="2600"/>
            <w:vAlign w:val="center"/>
          </w:tcPr>
          <w:p>
            <w:r>
              <w:rPr>
                <w:b w:val="false"/>
                <w:bCs w:val="false"/>
                <w:color w:val="000000"/>
              </w:rPr>
              <w:t xml:space="preserve">Conversions</w:t>
            </w:r>
          </w:p>
        </w:tc>
        <w:tc>
          <w:tcPr>
            <w:tcW w:type="dxa" w:w="6900"/>
            <w:vAlign w:val="center"/>
          </w:tcPr>
          <w:p>
            <w:r>
              <w:rPr>
                <w:b w:val="false"/>
                <w:bCs w:val="false"/>
                <w:color w:val="000000"/>
              </w:rPr>
              <w:t xml:space="preserve">Count of those leads that became Paid Memberships in SAQR.</w:t>
            </w:r>
          </w:p>
        </w:tc>
      </w:tr>
      <w:tr>
        <w:tc>
          <w:tcPr>
            <w:tcW w:type="dxa" w:w="2600"/>
            <w:vAlign w:val="center"/>
          </w:tcPr>
          <w:p>
            <w:r>
              <w:rPr>
                <w:b w:val="false"/>
                <w:bCs w:val="false"/>
                <w:color w:val="000000"/>
              </w:rPr>
              <w:t xml:space="preserve">Cost per Lead</w:t>
            </w:r>
          </w:p>
        </w:tc>
        <w:tc>
          <w:tcPr>
            <w:tcW w:type="dxa" w:w="6900"/>
            <w:vAlign w:val="center"/>
          </w:tcPr>
          <w:p>
            <w:r>
              <w:rPr>
                <w:b w:val="false"/>
                <w:bCs w:val="false"/>
                <w:color w:val="000000"/>
              </w:rPr>
              <w:t xml:space="preserve">Spend ÷ Leads Generated.</w:t>
            </w:r>
          </w:p>
        </w:tc>
      </w:tr>
      <w:tr>
        <w:tc>
          <w:tcPr>
            <w:tcW w:type="dxa" w:w="2600"/>
            <w:vAlign w:val="center"/>
          </w:tcPr>
          <w:p>
            <w:r>
              <w:rPr>
                <w:b w:val="false"/>
                <w:bCs w:val="false"/>
                <w:color w:val="000000"/>
              </w:rPr>
              <w:t xml:space="preserve">Cost per Conversion</w:t>
            </w:r>
          </w:p>
        </w:tc>
        <w:tc>
          <w:tcPr>
            <w:tcW w:type="dxa" w:w="6900"/>
            <w:vAlign w:val="center"/>
          </w:tcPr>
          <w:p>
            <w:r>
              <w:rPr>
                <w:b w:val="false"/>
                <w:bCs w:val="false"/>
                <w:color w:val="000000"/>
              </w:rPr>
              <w:t xml:space="preserve">Spend ÷ Conversions.</w:t>
            </w:r>
          </w:p>
        </w:tc>
      </w:tr>
    </w:tbl>
    <w:p>
      <w:pPr>
        <w:spacing w:after="200"/>
      </w:pPr>
    </w:p>
    <w:p>
      <w:pPr>
        <w:pStyle w:val="Heading2"/>
        <w:spacing w:after="120" w:before="240"/>
      </w:pPr>
      <w:r>
        <w:t xml:space="preserve">8.2 Process</w:t>
      </w:r>
    </w:p>
    <w:p>
      <w:pPr>
        <w:pStyle w:val="ListParagraph"/>
        <w:numPr>
          <w:ilvl w:val="0"/>
          <w:numId w:val="2"/>
        </w:numPr>
        <w:spacing w:after="80"/>
      </w:pPr>
      <w:r>
        <w:t xml:space="preserve">Every SAQR lead is tagged with its source campaign at intake (Section 5.1), so leads can be traced back to the campaign that generated them.</w:t>
      </w:r>
    </w:p>
    <w:p>
      <w:pPr>
        <w:pStyle w:val="ListParagraph"/>
        <w:numPr>
          <w:ilvl w:val="0"/>
          <w:numId w:val="2"/>
        </w:numPr>
        <w:spacing w:after="80"/>
      </w:pPr>
      <w:r>
        <w:t xml:space="preserve">Ayaa updates the Campaign Tracker at the end of each campaign, or monthly for ongoing campaigns.</w:t>
      </w:r>
    </w:p>
    <w:p>
      <w:pPr>
        <w:pStyle w:val="ListParagraph"/>
        <w:numPr>
          <w:ilvl w:val="0"/>
          <w:numId w:val="2"/>
        </w:numPr>
        <w:spacing w:after="80"/>
      </w:pPr>
      <w:r>
        <w:t xml:space="preserve">Cost per lead and cost per conversion feed directly into the "Conversion results → better campaigns" handoff to Operations (Section 3), closing the loop between spend and results.</w:t>
      </w:r>
    </w:p>
    <w:p>
      <w:pPr>
        <w:pBdr>
          <w:left w:val="single" w:color="B7791F" w:sz="12" w:space="8"/>
        </w:pBdr>
        <w:spacing w:after="160"/>
        <w:ind w:left="200"/>
      </w:pPr>
      <w:r>
        <w:rPr>
          <w:i/>
          <w:iCs/>
          <w:color w:val="555555"/>
        </w:rPr>
        <w:t xml:space="preserve">TO CONFIRM — where the Campaign Tracker itself lives (spreadsheet, SAQR add-on, or another tool) is a Systems &amp; IT (Saud) decision once that function's scope is defined.</w:t>
      </w:r>
    </w:p>
    <w:p>
      <w:pPr>
        <w:pStyle w:val="Heading1"/>
        <w:spacing w:after="160" w:before="360"/>
      </w:pPr>
      <w:r>
        <w:t xml:space="preserve">9. Open Items Requiring a Decision</w:t>
      </w:r>
    </w:p>
    <w:p>
      <w:pPr>
        <w:spacing w:after="160"/>
      </w:pPr>
      <w:r>
        <w:rPr>
          <w:b w:val="false"/>
          <w:bCs w:val="false"/>
          <w:i w:val="false"/>
          <w:iCs w:val="false"/>
        </w:rPr>
        <w:t xml:space="preserve">These items are flagged, not resolved, in this edition. Two additional items — Roaa's cc-visibility mechanism between Nasser and Abdullah, and Saud's upward-reporting cadence — are tracked separately in the Communication Procedure Open Items document (EA-COMM-OPEN-01), not repeated here.</w:t>
      </w:r>
    </w:p>
    <w:p>
      <w:pPr>
        <w:spacing w:after="140"/>
      </w:pPr>
      <w:r>
        <w:rPr>
          <w:b/>
          <w:bCs/>
        </w:rPr>
        <w:t xml:space="preserve">1. </w:t>
      </w:r>
      <w:r>
        <w:t xml:space="preserve">Name a single receiving owner for the Group Sales → Operations/Training handoff (Section 3).</w:t>
      </w:r>
    </w:p>
    <w:p>
      <w:pPr>
        <w:spacing w:after="140"/>
      </w:pPr>
      <w:r>
        <w:rPr>
          <w:b/>
          <w:bCs/>
        </w:rPr>
        <w:t xml:space="preserve">2. </w:t>
      </w:r>
      <w:r>
        <w:t xml:space="preserve">Adopt a tie-breaker rule so every funnel stage has one named owner in practice (Section 5.2).</w:t>
      </w:r>
    </w:p>
    <w:p>
      <w:pPr>
        <w:spacing w:after="140"/>
      </w:pPr>
      <w:r>
        <w:rPr>
          <w:b/>
          <w:bCs/>
        </w:rPr>
        <w:t xml:space="preserve">3. </w:t>
      </w:r>
      <w:r>
        <w:t xml:space="preserve">Confirm Elite Member tier eligibility and rate, and the freeze fee amount and approval process (Section 5.3).</w:t>
      </w:r>
    </w:p>
    <w:p>
      <w:pPr>
        <w:spacing w:after="140"/>
      </w:pPr>
      <w:r>
        <w:rPr>
          <w:b/>
          <w:bCs/>
        </w:rPr>
        <w:t xml:space="preserve">4. </w:t>
      </w:r>
      <w:r>
        <w:t xml:space="preserve">Confirm where signed media consent forms are filed and who audits Marketing's use of them (Section 7).</w:t>
      </w:r>
    </w:p>
    <w:p>
      <w:pPr>
        <w:spacing w:after="140"/>
      </w:pPr>
      <w:r>
        <w:rPr>
          <w:b/>
          <w:bCs/>
        </w:rPr>
        <w:t xml:space="preserve">5. </w:t>
      </w:r>
      <w:r>
        <w:t xml:space="preserve">Confirm which tool will host the Campaign Tracker — likely a Systems &amp; IT decision (Section 8).</w:t>
      </w:r>
    </w:p>
    <w:p>
      <w:pPr>
        <w:pageBreakBefore/>
      </w:pPr>
      <w:r>
        <w:br/>
        <w:t xml:space="preserve"/>
      </w:r>
    </w:p>
    <w:p>
      <w:pPr>
        <w:spacing w:after="40" w:before="120"/>
      </w:pPr>
      <w:r>
        <w:rPr>
          <w:b/>
          <w:bCs/>
          <w:color w:val="1F3864"/>
          <w:sz w:val="32"/>
          <w:szCs w:val="32"/>
        </w:rPr>
        <w:t xml:space="preserve">Appendix A — Member Photo &amp; Video Consent Form</w:t>
      </w:r>
    </w:p>
    <w:p>
      <w:pPr>
        <w:spacing w:after="240"/>
      </w:pPr>
      <w:r>
        <w:rPr>
          <w:i/>
          <w:iCs/>
          <w:color w:val="666666"/>
          <w:sz w:val="20"/>
          <w:szCs w:val="20"/>
        </w:rPr>
        <w:t xml:space="preserve">Form Code: EA-MKT-FRM-01</w:t>
      </w:r>
    </w:p>
    <w:p>
      <w:pPr>
        <w:pStyle w:val="Heading2"/>
        <w:spacing w:after="120" w:before="240"/>
      </w:pPr>
      <w:r>
        <w:t xml:space="preserve">Member / Child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vAlign w:val="center"/>
          </w:tcPr>
          <w:p>
            <w:r>
              <w:rPr>
                <w:b w:val="false"/>
                <w:bCs w:val="false"/>
                <w:color w:val="000000"/>
              </w:rPr>
              <w:t xml:space="preserve">Member / Child Full Name</w:t>
            </w:r>
          </w:p>
        </w:tc>
        <w:tc>
          <w:tcPr>
            <w:tcW w:type="dxa" w:w="5760"/>
          </w:tcPr>
          <w:p/>
        </w:tc>
      </w:tr>
      <w:tr>
        <w:tc>
          <w:tcPr>
            <w:tcW w:type="dxa" w:w="3600"/>
            <w:vAlign w:val="center"/>
          </w:tcPr>
          <w:p>
            <w:r>
              <w:rPr>
                <w:b w:val="false"/>
                <w:bCs w:val="false"/>
                <w:color w:val="000000"/>
              </w:rPr>
              <w:t xml:space="preserve">Date of Birth</w:t>
            </w:r>
          </w:p>
        </w:tc>
        <w:tc>
          <w:tcPr>
            <w:tcW w:type="dxa" w:w="5760"/>
          </w:tcPr>
          <w:p/>
        </w:tc>
      </w:tr>
      <w:tr>
        <w:tc>
          <w:tcPr>
            <w:tcW w:type="dxa" w:w="3600"/>
            <w:vAlign w:val="center"/>
          </w:tcPr>
          <w:p>
            <w:r>
              <w:rPr>
                <w:b w:val="false"/>
                <w:bCs w:val="false"/>
                <w:color w:val="000000"/>
              </w:rPr>
              <w:t xml:space="preserve">Branch (Promenade / Bedaya)</w:t>
            </w:r>
          </w:p>
        </w:tc>
        <w:tc>
          <w:tcPr>
            <w:tcW w:type="dxa" w:w="5760"/>
          </w:tcPr>
          <w:p/>
        </w:tc>
      </w:tr>
      <w:tr>
        <w:tc>
          <w:tcPr>
            <w:tcW w:type="dxa" w:w="3600"/>
            <w:vAlign w:val="center"/>
          </w:tcPr>
          <w:p>
            <w:r>
              <w:rPr>
                <w:b w:val="false"/>
                <w:bCs w:val="false"/>
                <w:color w:val="000000"/>
              </w:rPr>
              <w:t xml:space="preserve">Parent / Guardian Full Name</w:t>
            </w:r>
          </w:p>
        </w:tc>
        <w:tc>
          <w:tcPr>
            <w:tcW w:type="dxa" w:w="5760"/>
          </w:tcPr>
          <w:p/>
        </w:tc>
      </w:tr>
      <w:tr>
        <w:tc>
          <w:tcPr>
            <w:tcW w:type="dxa" w:w="3600"/>
            <w:vAlign w:val="center"/>
          </w:tcPr>
          <w:p>
            <w:r>
              <w:rPr>
                <w:b w:val="false"/>
                <w:bCs w:val="false"/>
                <w:color w:val="000000"/>
              </w:rPr>
              <w:t xml:space="preserve">Parent / Guardian Contact Number</w:t>
            </w:r>
          </w:p>
        </w:tc>
        <w:tc>
          <w:tcPr>
            <w:tcW w:type="dxa" w:w="5760"/>
          </w:tcPr>
          <w:p/>
        </w:tc>
      </w:tr>
    </w:tbl>
    <w:p>
      <w:pPr>
        <w:spacing w:after="240"/>
      </w:pPr>
    </w:p>
    <w:p>
      <w:pPr>
        <w:pStyle w:val="Heading2"/>
        <w:spacing w:after="120" w:before="240"/>
      </w:pPr>
      <w:r>
        <w:t xml:space="preserve">Consent</w:t>
      </w:r>
    </w:p>
    <w:p>
      <w:pPr>
        <w:spacing w:after="160"/>
      </w:pPr>
      <w:r>
        <w:rPr>
          <w:b w:val="false"/>
          <w:bCs w:val="false"/>
          <w:i w:val="false"/>
          <w:iCs w:val="false"/>
        </w:rPr>
        <w:t xml:space="preserve">I, the parent/guardian named above, consent to Elite Academy photographing and/or filming my child during classes, events, and competitions, and to the use of that photo/video material for the purposes I have selected below (tick all that apply):</w:t>
      </w:r>
    </w:p>
    <w:p>
      <w:pPr>
        <w:pStyle w:val="ListParagraph"/>
        <w:numPr>
          <w:ilvl w:val="0"/>
          <w:numId w:val="2"/>
        </w:numPr>
        <w:spacing w:after="80"/>
      </w:pPr>
      <w:r>
        <w:t xml:space="preserve">Internal training and progress records only</w:t>
      </w:r>
    </w:p>
    <w:p>
      <w:pPr>
        <w:pStyle w:val="ListParagraph"/>
        <w:numPr>
          <w:ilvl w:val="0"/>
          <w:numId w:val="2"/>
        </w:numPr>
        <w:spacing w:after="80"/>
      </w:pPr>
      <w:r>
        <w:t xml:space="preserve">Elite Academy social media (Instagram, Facebook, etc.)</w:t>
      </w:r>
    </w:p>
    <w:p>
      <w:pPr>
        <w:pStyle w:val="ListParagraph"/>
        <w:numPr>
          <w:ilvl w:val="0"/>
          <w:numId w:val="2"/>
        </w:numPr>
        <w:spacing w:after="80"/>
      </w:pPr>
      <w:r>
        <w:t xml:space="preserve">Elite Academy website and marketing materials (flyers, ads, etc.)</w:t>
      </w:r>
    </w:p>
    <w:p>
      <w:pPr>
        <w:spacing w:after="160"/>
      </w:pPr>
      <w:r>
        <w:rPr>
          <w:b w:val="false"/>
          <w:bCs w:val="false"/>
          <w:i w:val="false"/>
          <w:iCs w:val="false"/>
        </w:rPr>
        <w:t xml:space="preserve">I understand that I may withdraw this consent at any time by notifying my branch in writing, and that Elite Academy will review existing posted material involving my child for removal upon request.</w:t>
      </w:r>
    </w:p>
    <w:p>
      <w:pPr>
        <w:spacing w:after="200"/>
      </w:pPr>
    </w:p>
    <w:p>
      <w:pPr>
        <w:pStyle w:val="Heading2"/>
        <w:spacing w:after="120" w:before="240"/>
      </w:pPr>
      <w:r>
        <w:t xml:space="preserve">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20"/>
        <w:gridCol w:w="2200"/>
        <w:gridCol w:w="3520"/>
      </w:tblGrid>
      <w:tr>
        <w:tc>
          <w:tcPr>
            <w:tcW w:type="dxa" w:w="2200"/>
            <w:vAlign w:val="center"/>
          </w:tcPr>
          <w:p>
            <w:r>
              <w:rPr>
                <w:b w:val="false"/>
                <w:bCs w:val="false"/>
                <w:color w:val="000000"/>
              </w:rPr>
              <w:t xml:space="preserve">Parent/Guardian Signature</w:t>
            </w:r>
          </w:p>
        </w:tc>
        <w:tc>
          <w:tcPr>
            <w:tcW w:type="dxa" w:w="3520"/>
          </w:tcPr>
          <w:p/>
        </w:tc>
        <w:tc>
          <w:tcPr>
            <w:tcW w:type="dxa" w:w="2200"/>
            <w:vAlign w:val="center"/>
          </w:tcPr>
          <w:p>
            <w:r>
              <w:rPr>
                <w:b w:val="false"/>
                <w:bCs w:val="false"/>
                <w:color w:val="000000"/>
              </w:rPr>
              <w:t xml:space="preserve">Date</w:t>
            </w:r>
          </w:p>
        </w:tc>
        <w:tc>
          <w:tcPr>
            <w:tcW w:type="dxa" w:w="3520"/>
          </w:tcPr>
          <w:p/>
        </w:tc>
      </w:tr>
      <w:tr>
        <w:tc>
          <w:tcPr>
            <w:tcW w:type="dxa" w:w="2200"/>
            <w:vAlign w:val="center"/>
          </w:tcPr>
          <w:p>
            <w:r>
              <w:rPr>
                <w:b w:val="false"/>
                <w:bCs w:val="false"/>
                <w:color w:val="000000"/>
              </w:rPr>
              <w:t xml:space="preserve">Received By (Staff Name)</w:t>
            </w:r>
          </w:p>
        </w:tc>
        <w:tc>
          <w:tcPr>
            <w:tcW w:type="dxa" w:w="3520"/>
          </w:tcPr>
          <w:p/>
        </w:tc>
        <w:tc>
          <w:tcPr>
            <w:tcW w:type="dxa" w:w="2200"/>
            <w:vAlign w:val="center"/>
          </w:tcPr>
          <w:p>
            <w:r>
              <w:rPr>
                <w:b w:val="false"/>
                <w:bCs w:val="false"/>
                <w:color w:val="000000"/>
              </w:rPr>
              <w:t xml:space="preserve">Branch</w:t>
            </w:r>
          </w:p>
        </w:tc>
        <w:tc>
          <w:tcPr>
            <w:tcW w:type="dxa" w:w="3520"/>
          </w:tcPr>
          <w:p/>
        </w:tc>
      </w:tr>
    </w:tbl>
    <w:p>
      <w:pPr>
        <w:spacing w:before="160"/>
      </w:pPr>
    </w:p>
    <w:p>
      <w:r>
        <w:rPr>
          <w:i/>
          <w:iCs/>
          <w:color w:val="666666"/>
          <w:sz w:val="18"/>
          <w:szCs w:val="18"/>
        </w:rPr>
        <w:t xml:space="preserve">Note: File this form with the member's registration record. Photos/videos of this member should only be used for the purpose(s) ticked above.</w:t>
      </w:r>
    </w:p>
    <w:p>
      <w:pPr>
        <w:pageBreakBefore/>
      </w:pPr>
      <w:r>
        <w:br/>
        <w:t xml:space="preserve"/>
      </w:r>
    </w:p>
    <w:p>
      <w:pPr>
        <w:spacing w:after="160" w:before="120"/>
      </w:pPr>
      <w:r>
        <w:rPr>
          <w:b/>
          <w:bCs/>
          <w:color w:val="1F3864"/>
          <w:sz w:val="32"/>
          <w:szCs w:val="32"/>
        </w:rPr>
        <w:t xml:space="preserve">Appendix B — Organization Chart</w:t>
      </w:r>
    </w:p>
    <w:p>
      <w:pPr>
        <w:spacing w:after="140"/>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33725"/>
                    </a:xfrm>
                    <a:prstGeom prst="rect">
                      <a:avLst/>
                    </a:prstGeom>
                  </pic:spPr>
                </pic:pic>
              </a:graphicData>
            </a:graphic>
          </wp:inline>
        </w:drawing>
      </w:r>
    </w:p>
    <w:p>
      <w:pPr>
        <w:spacing w:after="160"/>
      </w:pPr>
      <w:r>
        <w:rPr>
          <w:b w:val="false"/>
          <w:bCs w:val="false"/>
          <w:i/>
          <w:iCs/>
        </w:rPr>
        <w:t xml:space="preserve">Carlos leads grappling and Ahmed leads striking under Abdullah, with all instructors reporting to him. Roaa reports to Nasser in Operations, sitting above Verna (Promenade, Hawalli) and Tareq (Bedaya), and also coaches under Abdullah in Training — shown by the dotted line. Ayaa implements marketing strategy under Maryam. Saud (highlighted) is the newly added Systems &amp; IT function; his team, if any, is not yet defined.</w:t>
      </w:r>
    </w:p>
    <w:sectPr>
      <w:headerReference w:type="default" r:id="rId7"/>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c>
        <w:tcPr>
          <w:tcW w:type="dxa" w:w="2000"/>
        </w:tcPr>
        <w:p>
          <w:r>
            <w:drawing>
              <wp:inline distT="0" distB="0" distL="0" distR="0">
                <wp:extent cx="1047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90525"/>
                        </a:xfrm>
                        <a:prstGeom prst="rect">
                          <a:avLst/>
                        </a:prstGeom>
                      </pic:spPr>
                    </pic:pic>
                  </a:graphicData>
                </a:graphic>
              </wp:inline>
            </w:drawing>
          </w:r>
        </w:p>
      </w:tc>
      <w:tc>
        <w:tcPr>
          <w:tcW w:type="dxa" w:w="7360"/>
        </w:tcPr>
        <w:p>
          <w:pPr>
            <w:jc w:val="right"/>
          </w:pPr>
          <w:r>
            <w:rPr>
              <w:color w:val="666666"/>
              <w:sz w:val="16"/>
              <w:szCs w:val="16"/>
            </w:rPr>
            <w:t xml:space="preserve">Document Ref: EA-COMM-PLAY-01</w:t>
          </w:r>
        </w:p>
        <w:p>
          <w:pPr>
            <w:jc w:val="right"/>
          </w:pPr>
          <w:r>
            <w:rPr>
              <w:color w:val="666666"/>
              <w:sz w:val="16"/>
              <w:szCs w:val="16"/>
            </w:rPr>
            <w:t xml:space="preserve">Version: 3.2</w:t>
          </w:r>
        </w:p>
        <w:p>
          <w:pPr>
            <w:jc w:val="right"/>
          </w:pPr>
          <w:r>
            <w:rPr>
              <w:color w:val="666666"/>
              <w:sz w:val="16"/>
              <w:szCs w:val="16"/>
            </w:rPr>
            <w:t xml:space="preserve">Effective Date: 13-Sep-2026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9b02ec1c224b8d2a33638eb0271a7777364f122.png"/><Relationship Id="rId9" Type="http://schemas.openxmlformats.org/officeDocument/2006/relationships/image" Target="media/90e58ef08582826994be244ce0fa3a1a8c09e5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9b02ec1c224b8d2a33638eb0271a7777364f1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2026-09-14T09:14:59.765Z</dcterms:created>
  <dcterms:modified xsi:type="dcterms:W3CDTF">2026-09-14T09:14:59.776Z</dcterms:modified>
</cp:coreProperties>
</file>

<file path=docProps/custom.xml><?xml version="1.0" encoding="utf-8"?>
<Properties xmlns="http://schemas.openxmlformats.org/officeDocument/2006/custom-properties" xmlns:vt="http://schemas.openxmlformats.org/officeDocument/2006/docPropsVTypes"/>
</file>